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5F6E" w14:textId="77777777" w:rsidR="00812CA9" w:rsidRPr="005105D1" w:rsidRDefault="00812CA9" w:rsidP="00812CA9">
      <w:pPr>
        <w:rPr>
          <w:rFonts w:ascii="Arial" w:hAnsi="Arial" w:cs="Arial"/>
        </w:rPr>
      </w:pPr>
    </w:p>
    <w:p w14:paraId="0363E850" w14:textId="77777777" w:rsidR="007B197B" w:rsidRDefault="007B197B" w:rsidP="007B197B">
      <w:pPr>
        <w:rPr>
          <w:sz w:val="28"/>
        </w:rPr>
      </w:pPr>
    </w:p>
    <w:p w14:paraId="2AD40760" w14:textId="77777777" w:rsidR="007B197B" w:rsidRDefault="00FD5681" w:rsidP="007B197B">
      <w:pPr>
        <w:rPr>
          <w:sz w:val="28"/>
        </w:rPr>
      </w:pPr>
      <w:r>
        <w:rPr>
          <w:noProof/>
          <w:lang w:val="en-GB" w:eastAsia="en-GB"/>
        </w:rPr>
        <w:drawing>
          <wp:anchor distT="0" distB="0" distL="114300" distR="114300" simplePos="0" relativeHeight="251659264" behindDoc="0" locked="0" layoutInCell="1" allowOverlap="1" wp14:anchorId="7234A7BB" wp14:editId="69139928">
            <wp:simplePos x="0" y="0"/>
            <wp:positionH relativeFrom="column">
              <wp:posOffset>461176</wp:posOffset>
            </wp:positionH>
            <wp:positionV relativeFrom="paragraph">
              <wp:posOffset>131445</wp:posOffset>
            </wp:positionV>
            <wp:extent cx="4572000" cy="2393315"/>
            <wp:effectExtent l="0" t="0" r="0" b="6985"/>
            <wp:wrapThrough wrapText="bothSides">
              <wp:wrapPolygon edited="0">
                <wp:start x="0" y="0"/>
                <wp:lineTo x="0" y="21491"/>
                <wp:lineTo x="21510" y="21491"/>
                <wp:lineTo x="21510" y="0"/>
                <wp:lineTo x="0" y="0"/>
              </wp:wrapPolygon>
            </wp:wrapThrough>
            <wp:docPr id="1" name="Picture 2563863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39331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32BBE33" w14:textId="77777777" w:rsidR="007B197B" w:rsidRDefault="007B197B" w:rsidP="007B197B">
      <w:pPr>
        <w:rPr>
          <w:sz w:val="28"/>
        </w:rPr>
      </w:pPr>
    </w:p>
    <w:p w14:paraId="602C7993" w14:textId="77777777" w:rsidR="007B197B" w:rsidRDefault="007B197B" w:rsidP="007B197B">
      <w:pPr>
        <w:rPr>
          <w:sz w:val="28"/>
        </w:rPr>
      </w:pPr>
    </w:p>
    <w:p w14:paraId="2540EE72" w14:textId="77777777" w:rsidR="007B197B" w:rsidRDefault="007B197B" w:rsidP="007B197B">
      <w:pPr>
        <w:rPr>
          <w:sz w:val="28"/>
        </w:rPr>
      </w:pPr>
    </w:p>
    <w:p w14:paraId="4708506C" w14:textId="77777777" w:rsidR="007B197B" w:rsidRDefault="007B197B" w:rsidP="007B197B">
      <w:pPr>
        <w:rPr>
          <w:sz w:val="28"/>
        </w:rPr>
      </w:pPr>
    </w:p>
    <w:p w14:paraId="2502243D" w14:textId="77777777" w:rsidR="007B197B" w:rsidRDefault="007B197B" w:rsidP="007B197B">
      <w:pPr>
        <w:rPr>
          <w:sz w:val="28"/>
        </w:rPr>
      </w:pPr>
    </w:p>
    <w:p w14:paraId="5E350C4E" w14:textId="77777777" w:rsidR="007B197B" w:rsidRDefault="007B197B" w:rsidP="007B197B">
      <w:pPr>
        <w:rPr>
          <w:sz w:val="28"/>
        </w:rPr>
      </w:pPr>
    </w:p>
    <w:p w14:paraId="3425E580" w14:textId="77777777" w:rsidR="007B197B" w:rsidRDefault="007B197B" w:rsidP="007B197B">
      <w:pPr>
        <w:rPr>
          <w:sz w:val="28"/>
        </w:rPr>
      </w:pPr>
    </w:p>
    <w:p w14:paraId="2CE23F2F" w14:textId="77777777" w:rsidR="007B197B" w:rsidRDefault="007B197B" w:rsidP="007B197B"/>
    <w:p w14:paraId="7E9EC630" w14:textId="77777777" w:rsidR="009C7532" w:rsidRDefault="009C7532" w:rsidP="009C7532">
      <w:pPr>
        <w:pStyle w:val="BodyText3"/>
        <w:rPr>
          <w:rFonts w:ascii="Arial" w:hAnsi="Arial" w:cs="Arial"/>
          <w:color w:val="002060"/>
          <w:sz w:val="44"/>
          <w:szCs w:val="44"/>
        </w:rPr>
      </w:pPr>
    </w:p>
    <w:p w14:paraId="2C2610A8" w14:textId="77777777" w:rsidR="009C7532" w:rsidRPr="00A544A0" w:rsidRDefault="009C7532" w:rsidP="009C7532">
      <w:pPr>
        <w:pStyle w:val="BodyText3"/>
        <w:rPr>
          <w:rFonts w:ascii="Arial" w:hAnsi="Arial" w:cs="Arial"/>
          <w:color w:val="002060"/>
        </w:rPr>
      </w:pPr>
    </w:p>
    <w:p w14:paraId="4B59C231" w14:textId="77777777" w:rsidR="00FD5681" w:rsidRDefault="00FD5681" w:rsidP="00FD5681">
      <w:pPr>
        <w:pStyle w:val="WPNormal"/>
        <w:jc w:val="center"/>
        <w:rPr>
          <w:rFonts w:ascii="Arial" w:hAnsi="Arial" w:cs="Arial"/>
          <w:color w:val="002060"/>
        </w:rPr>
      </w:pPr>
    </w:p>
    <w:p w14:paraId="4D7B9E61" w14:textId="77777777" w:rsidR="00FD5681" w:rsidRDefault="00FD5681" w:rsidP="00FD5681">
      <w:pPr>
        <w:pStyle w:val="WPNormal"/>
        <w:jc w:val="center"/>
        <w:rPr>
          <w:rFonts w:ascii="Arial" w:hAnsi="Arial" w:cs="Arial"/>
          <w:color w:val="002060"/>
        </w:rPr>
      </w:pPr>
    </w:p>
    <w:tbl>
      <w:tblPr>
        <w:tblW w:w="8330" w:type="dxa"/>
        <w:tblCellMar>
          <w:left w:w="10" w:type="dxa"/>
          <w:right w:w="10" w:type="dxa"/>
        </w:tblCellMar>
        <w:tblLook w:val="0000" w:firstRow="0" w:lastRow="0" w:firstColumn="0" w:lastColumn="0" w:noHBand="0" w:noVBand="0"/>
      </w:tblPr>
      <w:tblGrid>
        <w:gridCol w:w="2235"/>
        <w:gridCol w:w="1275"/>
        <w:gridCol w:w="2127"/>
        <w:gridCol w:w="2693"/>
      </w:tblGrid>
      <w:tr w:rsidR="00FD5681" w14:paraId="581841EA"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A77BB25" w14:textId="77777777" w:rsidR="00FD5681" w:rsidRDefault="00FD5681" w:rsidP="00124A47">
            <w:pPr>
              <w:rPr>
                <w:rFonts w:ascii="Arial" w:hAnsi="Arial"/>
                <w:b/>
              </w:rPr>
            </w:pPr>
            <w:r>
              <w:rPr>
                <w:rFonts w:ascii="Arial" w:hAnsi="Arial"/>
                <w:b/>
              </w:rPr>
              <w:t>Policy Name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E532DFD" w14:textId="77777777" w:rsidR="00FD5681" w:rsidRDefault="00FD5681" w:rsidP="00124A47">
            <w:pPr>
              <w:rPr>
                <w:rFonts w:ascii="Arial" w:hAnsi="Arial"/>
              </w:rPr>
            </w:pPr>
            <w:r>
              <w:rPr>
                <w:rFonts w:ascii="Arial" w:hAnsi="Arial"/>
              </w:rPr>
              <w:t xml:space="preserve">Succession Policy </w:t>
            </w:r>
          </w:p>
        </w:tc>
      </w:tr>
      <w:tr w:rsidR="00FD5681" w14:paraId="697D99D0"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5A5835A" w14:textId="77777777" w:rsidR="00FD5681" w:rsidRDefault="00FD5681" w:rsidP="00124A47">
            <w:pPr>
              <w:rPr>
                <w:rFonts w:ascii="Arial" w:hAnsi="Arial"/>
                <w:b/>
              </w:rPr>
            </w:pPr>
            <w:r>
              <w:rPr>
                <w:rFonts w:ascii="Arial" w:hAnsi="Arial"/>
                <w:b/>
              </w:rPr>
              <w:t>Policy Ref</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9ACE944" w14:textId="77777777" w:rsidR="00FD5681" w:rsidRDefault="00FD5681" w:rsidP="00124A47">
            <w:pPr>
              <w:rPr>
                <w:rFonts w:ascii="Arial" w:hAnsi="Arial"/>
              </w:rPr>
            </w:pPr>
            <w:r>
              <w:rPr>
                <w:rFonts w:ascii="Arial" w:hAnsi="Arial"/>
              </w:rPr>
              <w:t>HM</w:t>
            </w:r>
          </w:p>
        </w:tc>
      </w:tr>
      <w:tr w:rsidR="00FD5681" w14:paraId="0DE46684"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2829EAD" w14:textId="77777777" w:rsidR="00FD5681" w:rsidRDefault="00FD5681" w:rsidP="00124A47">
            <w:pPr>
              <w:rPr>
                <w:rFonts w:ascii="Arial" w:hAnsi="Arial"/>
                <w:b/>
              </w:rPr>
            </w:pPr>
            <w:r>
              <w:rPr>
                <w:rFonts w:ascii="Arial" w:hAnsi="Arial"/>
                <w:b/>
              </w:rPr>
              <w:t>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80E0BB8" w14:textId="77777777" w:rsidR="00FD5681" w:rsidRDefault="00F0144B" w:rsidP="00124A47">
            <w:pPr>
              <w:rPr>
                <w:rFonts w:ascii="Arial" w:hAnsi="Arial"/>
              </w:rPr>
            </w:pPr>
            <w:r>
              <w:rPr>
                <w:rFonts w:ascii="Arial" w:hAnsi="Arial"/>
              </w:rPr>
              <w:t>May</w:t>
            </w:r>
            <w:r w:rsidR="00FD5681">
              <w:rPr>
                <w:rFonts w:ascii="Arial" w:hAnsi="Arial"/>
              </w:rPr>
              <w:t xml:space="preserve"> 2023</w:t>
            </w:r>
          </w:p>
        </w:tc>
      </w:tr>
      <w:tr w:rsidR="00FD5681" w14:paraId="216F7008"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E3D932C" w14:textId="77777777" w:rsidR="00FD5681" w:rsidRDefault="00FD5681" w:rsidP="00124A47">
            <w:pPr>
              <w:rPr>
                <w:rFonts w:ascii="Arial" w:hAnsi="Arial"/>
                <w:b/>
              </w:rPr>
            </w:pPr>
            <w:r>
              <w:rPr>
                <w:rFonts w:ascii="Arial" w:hAnsi="Arial"/>
                <w:b/>
              </w:rPr>
              <w:t>Purpose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B43C1D1" w14:textId="77777777" w:rsidR="00FD5681" w:rsidRDefault="00FD5681" w:rsidP="00124A47">
            <w:pPr>
              <w:rPr>
                <w:rFonts w:ascii="Arial" w:hAnsi="Arial"/>
              </w:rPr>
            </w:pPr>
            <w:r>
              <w:rPr>
                <w:rFonts w:ascii="Arial" w:hAnsi="Arial"/>
              </w:rPr>
              <w:t>REVIEW &amp; APPROVE</w:t>
            </w:r>
          </w:p>
        </w:tc>
      </w:tr>
      <w:tr w:rsidR="00FD5681" w14:paraId="46395B92"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4B29952F" w14:textId="77777777" w:rsidR="00FD5681" w:rsidRDefault="00FD5681" w:rsidP="00124A47">
            <w:pPr>
              <w:rPr>
                <w:rFonts w:ascii="Arial" w:hAnsi="Arial"/>
                <w:b/>
              </w:rPr>
            </w:pPr>
            <w:r>
              <w:rPr>
                <w:rFonts w:ascii="Arial" w:hAnsi="Arial"/>
                <w:b/>
              </w:rPr>
              <w:t>Next Review Date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54D0158" w14:textId="77777777" w:rsidR="00FD5681" w:rsidRDefault="00FD5681" w:rsidP="00124A47">
            <w:pPr>
              <w:rPr>
                <w:rFonts w:ascii="Arial" w:hAnsi="Arial"/>
              </w:rPr>
            </w:pPr>
            <w:r>
              <w:rPr>
                <w:rFonts w:ascii="Arial" w:hAnsi="Arial"/>
              </w:rPr>
              <w:t>May 2027</w:t>
            </w:r>
          </w:p>
        </w:tc>
      </w:tr>
      <w:tr w:rsidR="00FD5681" w14:paraId="0F83F73B"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17AB846" w14:textId="77777777" w:rsidR="00FD5681" w:rsidRDefault="00FD5681" w:rsidP="00124A47">
            <w:pPr>
              <w:rPr>
                <w:rFonts w:ascii="Arial" w:hAnsi="Arial"/>
                <w:b/>
              </w:rPr>
            </w:pPr>
            <w:r>
              <w:rPr>
                <w:rFonts w:ascii="Arial" w:hAnsi="Arial"/>
                <w:b/>
              </w:rPr>
              <w:t>Committee</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7BFC0CCC" w14:textId="77777777" w:rsidR="00FD5681" w:rsidRDefault="00FD5681" w:rsidP="00124A47">
            <w:pPr>
              <w:rPr>
                <w:rFonts w:ascii="Arial" w:hAnsi="Arial"/>
              </w:rPr>
            </w:pPr>
            <w:r>
              <w:rPr>
                <w:rFonts w:ascii="Arial" w:hAnsi="Arial"/>
              </w:rPr>
              <w:t xml:space="preserve">Committee of Management </w:t>
            </w:r>
          </w:p>
        </w:tc>
      </w:tr>
      <w:tr w:rsidR="00FD5681" w14:paraId="46E57F13" w14:textId="77777777" w:rsidTr="00124A47">
        <w:trPr>
          <w:trHeight w:val="397"/>
        </w:trPr>
        <w:tc>
          <w:tcPr>
            <w:tcW w:w="351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54B0557E" w14:textId="77777777" w:rsidR="00FD5681" w:rsidRDefault="00FD5681" w:rsidP="00124A47">
            <w:pPr>
              <w:rPr>
                <w:rFonts w:ascii="Arial" w:hAnsi="Arial"/>
                <w:b/>
              </w:rPr>
            </w:pPr>
            <w:r>
              <w:rPr>
                <w:rFonts w:ascii="Arial" w:hAnsi="Arial"/>
                <w:b/>
              </w:rPr>
              <w:t>Author</w:t>
            </w:r>
          </w:p>
        </w:tc>
        <w:tc>
          <w:tcPr>
            <w:tcW w:w="4820" w:type="dxa"/>
            <w:gridSpan w:val="2"/>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0BCCB26C" w14:textId="77777777" w:rsidR="00FD5681" w:rsidRDefault="00FD5681" w:rsidP="00124A47">
            <w:pPr>
              <w:rPr>
                <w:rFonts w:ascii="Arial" w:hAnsi="Arial"/>
              </w:rPr>
            </w:pPr>
            <w:r>
              <w:rPr>
                <w:rFonts w:ascii="Arial" w:hAnsi="Arial"/>
              </w:rPr>
              <w:t>Linlay Anderson</w:t>
            </w:r>
          </w:p>
        </w:tc>
      </w:tr>
      <w:tr w:rsidR="00FD5681" w14:paraId="627BBA6A" w14:textId="77777777" w:rsidTr="00124A47">
        <w:trPr>
          <w:trHeight w:val="397"/>
        </w:trPr>
        <w:tc>
          <w:tcPr>
            <w:tcW w:w="223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6D48CB53" w14:textId="77777777" w:rsidR="00FD5681" w:rsidRDefault="00FD5681" w:rsidP="00124A47">
            <w:pPr>
              <w:rPr>
                <w:rFonts w:ascii="Arial" w:hAnsi="Arial"/>
                <w:b/>
              </w:rPr>
            </w:pPr>
            <w:r>
              <w:rPr>
                <w:rFonts w:ascii="Arial" w:hAnsi="Arial"/>
                <w:b/>
              </w:rPr>
              <w:t>Internal Policy</w:t>
            </w:r>
          </w:p>
        </w:tc>
        <w:tc>
          <w:tcPr>
            <w:tcW w:w="1275"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1CAD1DAD" w14:textId="77777777" w:rsidR="00FD5681" w:rsidRDefault="00FD5681" w:rsidP="00124A47">
            <w:pPr>
              <w:jc w:val="center"/>
              <w:rPr>
                <w:rFonts w:ascii="Arial" w:hAnsi="Arial"/>
              </w:rPr>
            </w:pPr>
          </w:p>
        </w:tc>
        <w:tc>
          <w:tcPr>
            <w:tcW w:w="2127"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38582654" w14:textId="77777777" w:rsidR="00FD5681" w:rsidRDefault="00FD5681" w:rsidP="00124A47">
            <w:pPr>
              <w:rPr>
                <w:rFonts w:ascii="Arial" w:hAnsi="Arial"/>
                <w:b/>
              </w:rPr>
            </w:pPr>
            <w:r>
              <w:rPr>
                <w:rFonts w:ascii="Arial" w:hAnsi="Arial"/>
                <w:b/>
              </w:rPr>
              <w:t>To be published</w:t>
            </w:r>
          </w:p>
        </w:tc>
        <w:tc>
          <w:tcPr>
            <w:tcW w:w="2693" w:type="dxa"/>
            <w:tcBorders>
              <w:top w:val="single" w:sz="4" w:space="0" w:color="002060"/>
              <w:left w:val="single" w:sz="4" w:space="0" w:color="002060"/>
              <w:bottom w:val="single" w:sz="4" w:space="0" w:color="002060"/>
              <w:right w:val="single" w:sz="4" w:space="0" w:color="002060"/>
            </w:tcBorders>
            <w:shd w:val="clear" w:color="auto" w:fill="auto"/>
            <w:tcMar>
              <w:top w:w="0" w:type="dxa"/>
              <w:left w:w="108" w:type="dxa"/>
              <w:bottom w:w="0" w:type="dxa"/>
              <w:right w:w="108" w:type="dxa"/>
            </w:tcMar>
            <w:vAlign w:val="center"/>
          </w:tcPr>
          <w:p w14:paraId="28C32C00" w14:textId="77777777" w:rsidR="00FD5681" w:rsidRDefault="00FD5681" w:rsidP="00124A47">
            <w:pPr>
              <w:rPr>
                <w:rFonts w:ascii="Arial" w:hAnsi="Arial"/>
              </w:rPr>
            </w:pPr>
            <w:r>
              <w:rPr>
                <w:rFonts w:ascii="Arial" w:hAnsi="Arial"/>
              </w:rPr>
              <w:t xml:space="preserve"> X</w:t>
            </w:r>
          </w:p>
        </w:tc>
      </w:tr>
    </w:tbl>
    <w:p w14:paraId="3FAB5A1C" w14:textId="77777777" w:rsidR="00FD5681" w:rsidRDefault="00FD5681" w:rsidP="00FD5681">
      <w:pPr>
        <w:pStyle w:val="WPNormal"/>
        <w:jc w:val="center"/>
        <w:rPr>
          <w:rFonts w:ascii="Arial" w:hAnsi="Arial" w:cs="Arial"/>
          <w:color w:val="002060"/>
        </w:rPr>
      </w:pPr>
    </w:p>
    <w:p w14:paraId="2BACC9B4" w14:textId="77777777" w:rsidR="009C7532" w:rsidRDefault="009C7532" w:rsidP="009C7532">
      <w:pPr>
        <w:pStyle w:val="BodyText3"/>
        <w:rPr>
          <w:rFonts w:ascii="Comic Sans MS" w:hAnsi="Comic Sans MS"/>
        </w:rPr>
      </w:pPr>
    </w:p>
    <w:p w14:paraId="1EC2B697" w14:textId="77777777" w:rsidR="009C7532" w:rsidRDefault="009C7532" w:rsidP="009C7532">
      <w:pPr>
        <w:pStyle w:val="BodyText3"/>
        <w:rPr>
          <w:rFonts w:ascii="Comic Sans MS" w:hAnsi="Comic Sans MS"/>
        </w:rPr>
      </w:pPr>
    </w:p>
    <w:p w14:paraId="2EE37B2D" w14:textId="77777777" w:rsidR="009C7532" w:rsidRDefault="009C7532" w:rsidP="009C7532">
      <w:pPr>
        <w:pStyle w:val="WPNormal"/>
        <w:jc w:val="center"/>
        <w:rPr>
          <w:rFonts w:ascii="Arial" w:hAnsi="Arial" w:cs="Arial"/>
          <w:color w:val="002060"/>
        </w:rPr>
      </w:pPr>
    </w:p>
    <w:p w14:paraId="67F9294A" w14:textId="77777777" w:rsidR="009C7532" w:rsidRDefault="009C7532" w:rsidP="009C7532">
      <w:pPr>
        <w:pStyle w:val="WPNormal"/>
        <w:jc w:val="center"/>
        <w:rPr>
          <w:rFonts w:ascii="Arial" w:hAnsi="Arial" w:cs="Arial"/>
          <w:color w:val="002060"/>
        </w:rPr>
      </w:pPr>
    </w:p>
    <w:p w14:paraId="5CB1E1B5" w14:textId="77777777" w:rsidR="009C7532" w:rsidRDefault="009C7532" w:rsidP="009C7532">
      <w:pPr>
        <w:pStyle w:val="WPNormal"/>
        <w:jc w:val="center"/>
        <w:rPr>
          <w:rFonts w:ascii="Arial" w:hAnsi="Arial" w:cs="Arial"/>
          <w:color w:val="002060"/>
        </w:rPr>
      </w:pPr>
    </w:p>
    <w:p w14:paraId="2F2CD730" w14:textId="77777777" w:rsidR="009C7532" w:rsidRDefault="009C7532" w:rsidP="009C7532">
      <w:pPr>
        <w:pStyle w:val="WPNormal"/>
        <w:jc w:val="center"/>
        <w:rPr>
          <w:rFonts w:ascii="Arial" w:hAnsi="Arial" w:cs="Arial"/>
          <w:color w:val="002060"/>
        </w:rPr>
      </w:pPr>
    </w:p>
    <w:p w14:paraId="66481EA2" w14:textId="77777777" w:rsidR="009C7532" w:rsidRDefault="009C7532" w:rsidP="009C7532">
      <w:pPr>
        <w:pStyle w:val="WPNormal"/>
        <w:jc w:val="center"/>
        <w:rPr>
          <w:rFonts w:ascii="Arial" w:hAnsi="Arial" w:cs="Arial"/>
          <w:color w:val="002060"/>
        </w:rPr>
      </w:pPr>
    </w:p>
    <w:p w14:paraId="77CC10A7" w14:textId="77777777" w:rsidR="009C7532" w:rsidRDefault="009C7532" w:rsidP="009C7532">
      <w:pPr>
        <w:pStyle w:val="WPNormal"/>
        <w:jc w:val="center"/>
        <w:rPr>
          <w:rFonts w:ascii="Arial" w:hAnsi="Arial" w:cs="Arial"/>
          <w:color w:val="002060"/>
        </w:rPr>
      </w:pPr>
    </w:p>
    <w:p w14:paraId="6AA7D4C5" w14:textId="77777777" w:rsidR="009C7532" w:rsidRDefault="009C7532" w:rsidP="009C7532">
      <w:pPr>
        <w:pStyle w:val="WPNormal"/>
        <w:jc w:val="center"/>
        <w:rPr>
          <w:rFonts w:ascii="Arial" w:hAnsi="Arial" w:cs="Arial"/>
          <w:color w:val="002060"/>
        </w:rPr>
      </w:pPr>
    </w:p>
    <w:p w14:paraId="439A7E61" w14:textId="77777777" w:rsidR="00FD5681" w:rsidRDefault="00FD5681" w:rsidP="009C7532">
      <w:pPr>
        <w:pStyle w:val="WPNormal"/>
        <w:jc w:val="center"/>
        <w:rPr>
          <w:rFonts w:ascii="Arial" w:hAnsi="Arial" w:cs="Arial"/>
        </w:rPr>
      </w:pPr>
    </w:p>
    <w:p w14:paraId="18EF2FE6" w14:textId="77777777" w:rsidR="00FD5681" w:rsidRDefault="00FD5681" w:rsidP="009C7532">
      <w:pPr>
        <w:pStyle w:val="WPNormal"/>
        <w:jc w:val="center"/>
        <w:rPr>
          <w:rFonts w:ascii="Arial" w:hAnsi="Arial" w:cs="Arial"/>
        </w:rPr>
      </w:pPr>
    </w:p>
    <w:p w14:paraId="2B0D4A2C" w14:textId="77777777" w:rsidR="00FD5681" w:rsidRDefault="00FD5681" w:rsidP="009C7532">
      <w:pPr>
        <w:pStyle w:val="WPNormal"/>
        <w:jc w:val="center"/>
        <w:rPr>
          <w:rFonts w:ascii="Arial" w:hAnsi="Arial" w:cs="Arial"/>
        </w:rPr>
      </w:pPr>
    </w:p>
    <w:p w14:paraId="37E335A1" w14:textId="77777777" w:rsidR="00FD5681" w:rsidRDefault="00FD5681" w:rsidP="009C7532">
      <w:pPr>
        <w:pStyle w:val="WPNormal"/>
        <w:jc w:val="center"/>
        <w:rPr>
          <w:rFonts w:ascii="Arial" w:hAnsi="Arial" w:cs="Arial"/>
        </w:rPr>
      </w:pPr>
    </w:p>
    <w:p w14:paraId="228D2B72" w14:textId="77777777" w:rsidR="00FD5681" w:rsidRDefault="00FD5681" w:rsidP="009C7532">
      <w:pPr>
        <w:pStyle w:val="WPNormal"/>
        <w:jc w:val="center"/>
        <w:rPr>
          <w:rFonts w:ascii="Arial" w:hAnsi="Arial" w:cs="Arial"/>
        </w:rPr>
      </w:pPr>
    </w:p>
    <w:p w14:paraId="1CC8729B" w14:textId="77777777" w:rsidR="00FD5681" w:rsidRDefault="00FD5681" w:rsidP="009C7532">
      <w:pPr>
        <w:pStyle w:val="WPNormal"/>
        <w:jc w:val="center"/>
        <w:rPr>
          <w:rFonts w:ascii="Arial" w:hAnsi="Arial" w:cs="Arial"/>
        </w:rPr>
      </w:pPr>
    </w:p>
    <w:p w14:paraId="50E17501" w14:textId="77777777" w:rsidR="00FD5681" w:rsidRDefault="00FD5681" w:rsidP="009C7532">
      <w:pPr>
        <w:pStyle w:val="WPNormal"/>
        <w:jc w:val="center"/>
        <w:rPr>
          <w:rFonts w:ascii="Arial" w:hAnsi="Arial" w:cs="Arial"/>
        </w:rPr>
      </w:pPr>
    </w:p>
    <w:p w14:paraId="74529940" w14:textId="77777777" w:rsidR="00FD5681" w:rsidRDefault="00FD5681" w:rsidP="009C7532">
      <w:pPr>
        <w:pStyle w:val="WPNormal"/>
        <w:jc w:val="center"/>
        <w:rPr>
          <w:rFonts w:ascii="Arial" w:hAnsi="Arial" w:cs="Arial"/>
        </w:rPr>
      </w:pPr>
    </w:p>
    <w:p w14:paraId="1FCE300D" w14:textId="77777777" w:rsidR="00FD5681" w:rsidRDefault="00FD5681" w:rsidP="009C7532">
      <w:pPr>
        <w:pStyle w:val="WPNormal"/>
        <w:jc w:val="center"/>
        <w:rPr>
          <w:rFonts w:ascii="Arial" w:hAnsi="Arial" w:cs="Arial"/>
        </w:rPr>
      </w:pPr>
    </w:p>
    <w:p w14:paraId="441629AE" w14:textId="77777777" w:rsidR="00FD5681" w:rsidRDefault="00FD5681" w:rsidP="009C7532">
      <w:pPr>
        <w:pStyle w:val="WPNormal"/>
        <w:jc w:val="center"/>
        <w:rPr>
          <w:rFonts w:ascii="Arial" w:hAnsi="Arial" w:cs="Arial"/>
        </w:rPr>
      </w:pPr>
    </w:p>
    <w:p w14:paraId="2149D294" w14:textId="77777777" w:rsidR="00FD5681" w:rsidRDefault="00FD5681" w:rsidP="009C7532">
      <w:pPr>
        <w:pStyle w:val="WPNormal"/>
        <w:jc w:val="center"/>
        <w:rPr>
          <w:rFonts w:ascii="Arial" w:hAnsi="Arial" w:cs="Arial"/>
        </w:rPr>
      </w:pPr>
    </w:p>
    <w:p w14:paraId="2AE5F9C7" w14:textId="77777777" w:rsidR="00FD5681" w:rsidRDefault="00FD5681" w:rsidP="003B11BF">
      <w:pPr>
        <w:pStyle w:val="WPNormal"/>
        <w:rPr>
          <w:rFonts w:ascii="Arial" w:hAnsi="Arial" w:cs="Arial"/>
        </w:rPr>
      </w:pPr>
    </w:p>
    <w:p w14:paraId="53AC0B1A" w14:textId="77777777" w:rsidR="00195133" w:rsidRDefault="00195133" w:rsidP="009C7532">
      <w:pPr>
        <w:pStyle w:val="WPNormal"/>
        <w:jc w:val="center"/>
        <w:rPr>
          <w:rFonts w:ascii="Arial" w:hAnsi="Arial" w:cs="Arial"/>
        </w:rPr>
      </w:pPr>
    </w:p>
    <w:p w14:paraId="0A32CD0C" w14:textId="77777777" w:rsidR="009C7532" w:rsidRPr="00FD5681" w:rsidRDefault="009C7532" w:rsidP="009C7532">
      <w:pPr>
        <w:pStyle w:val="WPNormal"/>
        <w:jc w:val="center"/>
        <w:rPr>
          <w:rFonts w:ascii="Arial" w:hAnsi="Arial" w:cs="Arial"/>
        </w:rPr>
      </w:pPr>
      <w:r w:rsidRPr="00FD5681">
        <w:rPr>
          <w:rFonts w:ascii="Arial" w:hAnsi="Arial" w:cs="Arial"/>
        </w:rPr>
        <w:t xml:space="preserve">Angus Housing Association Limited Registered Charity Number SC020981  </w:t>
      </w:r>
    </w:p>
    <w:p w14:paraId="59F10EB7" w14:textId="77777777" w:rsidR="007B197B" w:rsidRDefault="007B197B" w:rsidP="007B197B">
      <w:pPr>
        <w:rPr>
          <w:b/>
        </w:rPr>
      </w:pPr>
    </w:p>
    <w:p w14:paraId="0FCE55A7" w14:textId="77777777" w:rsidR="009C7532" w:rsidRDefault="009C7532" w:rsidP="007B197B">
      <w:pPr>
        <w:rPr>
          <w:b/>
        </w:rPr>
      </w:pPr>
    </w:p>
    <w:p w14:paraId="79B8B2F8" w14:textId="77777777" w:rsidR="009C7532" w:rsidRDefault="009C7532" w:rsidP="007B197B">
      <w:pP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812CA9" w:rsidRPr="002B5E93" w14:paraId="7162623E" w14:textId="77777777" w:rsidTr="00812CA9">
        <w:tc>
          <w:tcPr>
            <w:tcW w:w="5778" w:type="dxa"/>
            <w:tcBorders>
              <w:top w:val="single" w:sz="4" w:space="0" w:color="auto"/>
              <w:left w:val="single" w:sz="4" w:space="0" w:color="auto"/>
              <w:right w:val="single" w:sz="4" w:space="0" w:color="auto"/>
            </w:tcBorders>
          </w:tcPr>
          <w:p w14:paraId="3DB6C2FD" w14:textId="77777777" w:rsidR="00812CA9" w:rsidRPr="002B5E93" w:rsidRDefault="00812CA9" w:rsidP="00812CA9">
            <w:pPr>
              <w:pStyle w:val="Heading2"/>
              <w:rPr>
                <w:rFonts w:ascii="Arial" w:hAnsi="Arial"/>
                <w:bCs w:val="0"/>
                <w:sz w:val="24"/>
              </w:rPr>
            </w:pPr>
            <w:r>
              <w:rPr>
                <w:rFonts w:ascii="Arial" w:hAnsi="Arial"/>
                <w:bCs w:val="0"/>
                <w:sz w:val="24"/>
              </w:rPr>
              <w:t>Charter Outcomes</w:t>
            </w:r>
          </w:p>
          <w:p w14:paraId="27633728" w14:textId="77777777" w:rsidR="00812CA9" w:rsidRPr="002B5E93" w:rsidRDefault="00812CA9" w:rsidP="00812CA9">
            <w:pPr>
              <w:rPr>
                <w:rFonts w:ascii="Arial" w:hAnsi="Arial"/>
                <w:b/>
              </w:rPr>
            </w:pPr>
          </w:p>
        </w:tc>
        <w:tc>
          <w:tcPr>
            <w:tcW w:w="3402" w:type="dxa"/>
            <w:tcBorders>
              <w:top w:val="single" w:sz="4" w:space="0" w:color="auto"/>
              <w:left w:val="single" w:sz="4" w:space="0" w:color="auto"/>
              <w:right w:val="single" w:sz="4" w:space="0" w:color="auto"/>
            </w:tcBorders>
          </w:tcPr>
          <w:p w14:paraId="2447CBCE" w14:textId="77777777" w:rsidR="00812CA9" w:rsidRPr="002B5E93" w:rsidRDefault="00812CA9" w:rsidP="00812CA9">
            <w:pPr>
              <w:pStyle w:val="Heading1"/>
              <w:rPr>
                <w:rFonts w:ascii="Arial" w:hAnsi="Arial"/>
                <w:b w:val="0"/>
                <w:bCs w:val="0"/>
                <w:sz w:val="24"/>
              </w:rPr>
            </w:pPr>
            <w:r w:rsidRPr="002B5E93">
              <w:rPr>
                <w:rFonts w:ascii="Arial" w:hAnsi="Arial"/>
                <w:b w:val="0"/>
                <w:bCs w:val="0"/>
                <w:sz w:val="24"/>
              </w:rPr>
              <w:t>Number(s)</w:t>
            </w:r>
          </w:p>
        </w:tc>
      </w:tr>
      <w:tr w:rsidR="00812CA9" w:rsidRPr="002B5E93" w14:paraId="07BF0CED" w14:textId="77777777" w:rsidTr="00812CA9">
        <w:tc>
          <w:tcPr>
            <w:tcW w:w="5778" w:type="dxa"/>
            <w:tcBorders>
              <w:left w:val="single" w:sz="4" w:space="0" w:color="auto"/>
            </w:tcBorders>
          </w:tcPr>
          <w:p w14:paraId="665FDE81" w14:textId="77777777" w:rsidR="00812CA9" w:rsidRPr="002B5E93" w:rsidRDefault="00812CA9" w:rsidP="00812CA9">
            <w:pPr>
              <w:pStyle w:val="Heading2"/>
              <w:rPr>
                <w:rFonts w:ascii="Arial" w:hAnsi="Arial"/>
                <w:bCs w:val="0"/>
                <w:sz w:val="24"/>
              </w:rPr>
            </w:pPr>
            <w:r w:rsidRPr="002B5E93">
              <w:rPr>
                <w:rFonts w:ascii="Arial" w:hAnsi="Arial"/>
                <w:bCs w:val="0"/>
                <w:sz w:val="24"/>
              </w:rPr>
              <w:t xml:space="preserve">     </w:t>
            </w:r>
            <w:r>
              <w:rPr>
                <w:rFonts w:ascii="Arial" w:hAnsi="Arial"/>
                <w:bCs w:val="0"/>
                <w:sz w:val="24"/>
              </w:rPr>
              <w:t>The Customer/landlord relationship</w:t>
            </w:r>
          </w:p>
        </w:tc>
        <w:tc>
          <w:tcPr>
            <w:tcW w:w="3402" w:type="dxa"/>
            <w:tcBorders>
              <w:right w:val="single" w:sz="4" w:space="0" w:color="auto"/>
            </w:tcBorders>
          </w:tcPr>
          <w:p w14:paraId="06E7EFFB" w14:textId="77777777" w:rsidR="00812CA9" w:rsidRDefault="00812CA9" w:rsidP="00812CA9">
            <w:pPr>
              <w:numPr>
                <w:ilvl w:val="0"/>
                <w:numId w:val="13"/>
              </w:numPr>
              <w:rPr>
                <w:rFonts w:ascii="Arial" w:hAnsi="Arial"/>
              </w:rPr>
            </w:pPr>
            <w:r>
              <w:rPr>
                <w:rFonts w:ascii="Arial" w:hAnsi="Arial"/>
              </w:rPr>
              <w:t xml:space="preserve">Equalities  </w:t>
            </w:r>
          </w:p>
          <w:p w14:paraId="0AEE1FFE" w14:textId="77777777" w:rsidR="00812CA9" w:rsidRDefault="00812CA9" w:rsidP="00812CA9">
            <w:pPr>
              <w:numPr>
                <w:ilvl w:val="0"/>
                <w:numId w:val="13"/>
              </w:numPr>
              <w:rPr>
                <w:rFonts w:ascii="Arial" w:hAnsi="Arial"/>
              </w:rPr>
            </w:pPr>
            <w:r>
              <w:rPr>
                <w:rFonts w:ascii="Arial" w:hAnsi="Arial"/>
              </w:rPr>
              <w:t>Communication</w:t>
            </w:r>
          </w:p>
          <w:p w14:paraId="6C4E0267" w14:textId="77777777" w:rsidR="00812CA9" w:rsidRPr="002B5E93" w:rsidRDefault="00812CA9" w:rsidP="00812CA9">
            <w:pPr>
              <w:numPr>
                <w:ilvl w:val="0"/>
                <w:numId w:val="13"/>
              </w:numPr>
              <w:rPr>
                <w:rFonts w:ascii="Arial" w:hAnsi="Arial"/>
              </w:rPr>
            </w:pPr>
            <w:r>
              <w:rPr>
                <w:rFonts w:ascii="Arial" w:hAnsi="Arial"/>
              </w:rPr>
              <w:t>Participation</w:t>
            </w:r>
          </w:p>
        </w:tc>
      </w:tr>
      <w:tr w:rsidR="00812CA9" w:rsidRPr="002B5E93" w14:paraId="284E460C" w14:textId="77777777" w:rsidTr="00812CA9">
        <w:tc>
          <w:tcPr>
            <w:tcW w:w="5778" w:type="dxa"/>
            <w:tcBorders>
              <w:left w:val="single" w:sz="4" w:space="0" w:color="auto"/>
            </w:tcBorders>
          </w:tcPr>
          <w:p w14:paraId="475F9BF7" w14:textId="77777777" w:rsidR="00812CA9" w:rsidRPr="002B5E93" w:rsidRDefault="00812CA9" w:rsidP="00812CA9">
            <w:pPr>
              <w:pStyle w:val="Heading2"/>
              <w:rPr>
                <w:rFonts w:ascii="Arial" w:hAnsi="Arial"/>
                <w:bCs w:val="0"/>
                <w:sz w:val="24"/>
              </w:rPr>
            </w:pPr>
            <w:r w:rsidRPr="002B5E93">
              <w:rPr>
                <w:rFonts w:ascii="Arial" w:hAnsi="Arial"/>
                <w:bCs w:val="0"/>
                <w:sz w:val="24"/>
              </w:rPr>
              <w:t xml:space="preserve">     </w:t>
            </w:r>
            <w:r>
              <w:rPr>
                <w:rFonts w:ascii="Arial" w:hAnsi="Arial"/>
                <w:bCs w:val="0"/>
                <w:sz w:val="24"/>
              </w:rPr>
              <w:t>Housing quality and maintenance</w:t>
            </w:r>
          </w:p>
        </w:tc>
        <w:tc>
          <w:tcPr>
            <w:tcW w:w="3402" w:type="dxa"/>
            <w:tcBorders>
              <w:right w:val="single" w:sz="4" w:space="0" w:color="auto"/>
            </w:tcBorders>
          </w:tcPr>
          <w:p w14:paraId="39EF3197" w14:textId="77777777" w:rsidR="00812CA9" w:rsidRPr="002B5E93" w:rsidRDefault="00812CA9" w:rsidP="00812CA9">
            <w:pPr>
              <w:rPr>
                <w:rFonts w:ascii="Arial" w:hAnsi="Arial"/>
              </w:rPr>
            </w:pPr>
          </w:p>
        </w:tc>
      </w:tr>
      <w:tr w:rsidR="00812CA9" w:rsidRPr="002B5E93" w14:paraId="6EDECD9D" w14:textId="77777777" w:rsidTr="00812CA9">
        <w:tc>
          <w:tcPr>
            <w:tcW w:w="5778" w:type="dxa"/>
            <w:tcBorders>
              <w:left w:val="single" w:sz="4" w:space="0" w:color="auto"/>
            </w:tcBorders>
          </w:tcPr>
          <w:p w14:paraId="5DE20C2E" w14:textId="77777777" w:rsidR="00812CA9" w:rsidRPr="002B5E93" w:rsidRDefault="00812CA9" w:rsidP="00812CA9">
            <w:pPr>
              <w:pStyle w:val="Heading2"/>
              <w:rPr>
                <w:rFonts w:ascii="Arial" w:hAnsi="Arial"/>
                <w:bCs w:val="0"/>
                <w:sz w:val="24"/>
              </w:rPr>
            </w:pPr>
            <w:r w:rsidRPr="002B5E93">
              <w:rPr>
                <w:rFonts w:ascii="Arial" w:hAnsi="Arial"/>
                <w:bCs w:val="0"/>
                <w:sz w:val="24"/>
              </w:rPr>
              <w:t xml:space="preserve">     </w:t>
            </w:r>
            <w:r>
              <w:rPr>
                <w:rFonts w:ascii="Arial" w:hAnsi="Arial"/>
                <w:bCs w:val="0"/>
                <w:sz w:val="24"/>
              </w:rPr>
              <w:t>Neighbourhood and community</w:t>
            </w:r>
          </w:p>
        </w:tc>
        <w:tc>
          <w:tcPr>
            <w:tcW w:w="3402" w:type="dxa"/>
            <w:tcBorders>
              <w:right w:val="single" w:sz="4" w:space="0" w:color="auto"/>
            </w:tcBorders>
          </w:tcPr>
          <w:p w14:paraId="43FA280A" w14:textId="77777777" w:rsidR="00812CA9" w:rsidRPr="002B5E93" w:rsidRDefault="00812CA9" w:rsidP="00812CA9">
            <w:pPr>
              <w:rPr>
                <w:rFonts w:ascii="Arial" w:hAnsi="Arial"/>
              </w:rPr>
            </w:pPr>
          </w:p>
        </w:tc>
      </w:tr>
      <w:tr w:rsidR="00812CA9" w:rsidRPr="002B5E93" w14:paraId="396D052D" w14:textId="77777777" w:rsidTr="00812CA9">
        <w:tc>
          <w:tcPr>
            <w:tcW w:w="5778" w:type="dxa"/>
            <w:tcBorders>
              <w:left w:val="single" w:sz="4" w:space="0" w:color="auto"/>
            </w:tcBorders>
          </w:tcPr>
          <w:p w14:paraId="7482F2E6" w14:textId="77777777" w:rsidR="00812CA9" w:rsidRPr="002B5E93" w:rsidRDefault="00812CA9" w:rsidP="00812CA9">
            <w:pPr>
              <w:pStyle w:val="Heading2"/>
              <w:rPr>
                <w:rFonts w:ascii="Arial" w:hAnsi="Arial"/>
                <w:bCs w:val="0"/>
                <w:sz w:val="24"/>
              </w:rPr>
            </w:pPr>
            <w:r w:rsidRPr="002B5E93">
              <w:rPr>
                <w:rFonts w:ascii="Arial" w:hAnsi="Arial"/>
                <w:bCs w:val="0"/>
                <w:sz w:val="24"/>
              </w:rPr>
              <w:t xml:space="preserve">    </w:t>
            </w:r>
            <w:r>
              <w:rPr>
                <w:rFonts w:ascii="Arial" w:hAnsi="Arial"/>
                <w:bCs w:val="0"/>
                <w:sz w:val="24"/>
              </w:rPr>
              <w:t>Access to housing and support</w:t>
            </w:r>
          </w:p>
        </w:tc>
        <w:tc>
          <w:tcPr>
            <w:tcW w:w="3402" w:type="dxa"/>
            <w:tcBorders>
              <w:right w:val="single" w:sz="4" w:space="0" w:color="auto"/>
            </w:tcBorders>
          </w:tcPr>
          <w:p w14:paraId="5EAD4CED" w14:textId="77777777" w:rsidR="00812CA9" w:rsidRPr="002B5E93" w:rsidRDefault="00812CA9" w:rsidP="00812CA9">
            <w:pPr>
              <w:rPr>
                <w:rFonts w:ascii="Arial" w:hAnsi="Arial"/>
              </w:rPr>
            </w:pPr>
          </w:p>
        </w:tc>
      </w:tr>
      <w:tr w:rsidR="00812CA9" w:rsidRPr="002B5E93" w14:paraId="48189BB4" w14:textId="77777777" w:rsidTr="00812CA9">
        <w:tc>
          <w:tcPr>
            <w:tcW w:w="5778" w:type="dxa"/>
            <w:tcBorders>
              <w:left w:val="single" w:sz="4" w:space="0" w:color="auto"/>
            </w:tcBorders>
          </w:tcPr>
          <w:p w14:paraId="266C6A76" w14:textId="77777777" w:rsidR="00812CA9" w:rsidRPr="002B5E93" w:rsidRDefault="00812CA9" w:rsidP="00812CA9">
            <w:pPr>
              <w:pStyle w:val="Heading2"/>
              <w:rPr>
                <w:rFonts w:ascii="Arial" w:hAnsi="Arial"/>
                <w:bCs w:val="0"/>
                <w:sz w:val="24"/>
              </w:rPr>
            </w:pPr>
            <w:r w:rsidRPr="002B5E93">
              <w:rPr>
                <w:rFonts w:ascii="Arial" w:hAnsi="Arial"/>
                <w:bCs w:val="0"/>
                <w:sz w:val="24"/>
              </w:rPr>
              <w:t xml:space="preserve">    </w:t>
            </w:r>
            <w:r>
              <w:rPr>
                <w:rFonts w:ascii="Arial" w:hAnsi="Arial"/>
                <w:bCs w:val="0"/>
                <w:sz w:val="24"/>
              </w:rPr>
              <w:t>Getting good value from rents and service charges</w:t>
            </w:r>
          </w:p>
        </w:tc>
        <w:tc>
          <w:tcPr>
            <w:tcW w:w="3402" w:type="dxa"/>
            <w:tcBorders>
              <w:right w:val="single" w:sz="4" w:space="0" w:color="auto"/>
            </w:tcBorders>
          </w:tcPr>
          <w:p w14:paraId="283D05EA" w14:textId="77777777" w:rsidR="00812CA9" w:rsidRPr="002B5E93" w:rsidRDefault="00812CA9" w:rsidP="00812CA9">
            <w:pPr>
              <w:rPr>
                <w:rFonts w:ascii="Arial" w:hAnsi="Arial"/>
              </w:rPr>
            </w:pPr>
          </w:p>
        </w:tc>
      </w:tr>
    </w:tbl>
    <w:p w14:paraId="731A1CFB" w14:textId="77777777" w:rsidR="007B197B" w:rsidRPr="002B5E93" w:rsidRDefault="007B197B" w:rsidP="007B197B">
      <w:pPr>
        <w:pStyle w:val="WPNormal"/>
        <w:rPr>
          <w:rFonts w:ascii="Arial" w:hAnsi="Arial"/>
        </w:rPr>
      </w:pPr>
    </w:p>
    <w:p w14:paraId="4BD6CC28" w14:textId="77777777" w:rsidR="007B197B" w:rsidRPr="002B5E93" w:rsidRDefault="007B197B" w:rsidP="007B197B">
      <w:pPr>
        <w:pStyle w:val="WPNormal"/>
        <w:rPr>
          <w:rFonts w:ascii="Arial" w:hAnsi="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7B197B" w:rsidRPr="002B5E93" w14:paraId="10D4AE2E" w14:textId="77777777">
        <w:tc>
          <w:tcPr>
            <w:tcW w:w="5778" w:type="dxa"/>
            <w:tcBorders>
              <w:bottom w:val="single" w:sz="4" w:space="0" w:color="auto"/>
            </w:tcBorders>
          </w:tcPr>
          <w:p w14:paraId="0A6307DB" w14:textId="77777777" w:rsidR="007B197B" w:rsidRPr="002B5E93" w:rsidRDefault="007B197B" w:rsidP="007B197B">
            <w:pPr>
              <w:pStyle w:val="Heading2"/>
              <w:rPr>
                <w:rFonts w:ascii="Arial" w:hAnsi="Arial"/>
                <w:bCs w:val="0"/>
                <w:sz w:val="24"/>
              </w:rPr>
            </w:pPr>
            <w:r w:rsidRPr="002B5E93">
              <w:rPr>
                <w:rFonts w:ascii="Arial" w:hAnsi="Arial"/>
                <w:bCs w:val="0"/>
                <w:sz w:val="24"/>
              </w:rPr>
              <w:t>Written By</w:t>
            </w:r>
          </w:p>
          <w:p w14:paraId="14311090" w14:textId="77777777" w:rsidR="007B197B" w:rsidRPr="002B5E93" w:rsidRDefault="007B197B" w:rsidP="007B197B">
            <w:pPr>
              <w:pStyle w:val="Heading2"/>
              <w:rPr>
                <w:rFonts w:ascii="Arial" w:hAnsi="Arial"/>
                <w:bCs w:val="0"/>
                <w:sz w:val="24"/>
              </w:rPr>
            </w:pPr>
          </w:p>
        </w:tc>
        <w:tc>
          <w:tcPr>
            <w:tcW w:w="3402" w:type="dxa"/>
            <w:tcBorders>
              <w:bottom w:val="single" w:sz="4" w:space="0" w:color="auto"/>
            </w:tcBorders>
          </w:tcPr>
          <w:p w14:paraId="39551A09" w14:textId="77777777" w:rsidR="007B197B" w:rsidRPr="002B5E93" w:rsidRDefault="007B197B" w:rsidP="007B197B">
            <w:pPr>
              <w:rPr>
                <w:rFonts w:ascii="Arial" w:hAnsi="Arial"/>
              </w:rPr>
            </w:pPr>
            <w:r w:rsidRPr="002B5E93">
              <w:rPr>
                <w:rFonts w:ascii="Arial" w:hAnsi="Arial"/>
              </w:rPr>
              <w:t>Linlay Anderson</w:t>
            </w:r>
          </w:p>
        </w:tc>
      </w:tr>
      <w:tr w:rsidR="007B197B" w:rsidRPr="002B5E93" w14:paraId="5FE32A34" w14:textId="77777777">
        <w:tc>
          <w:tcPr>
            <w:tcW w:w="5778" w:type="dxa"/>
            <w:tcBorders>
              <w:bottom w:val="single" w:sz="4" w:space="0" w:color="auto"/>
            </w:tcBorders>
          </w:tcPr>
          <w:p w14:paraId="4A2AC532" w14:textId="77777777" w:rsidR="007B197B" w:rsidRPr="002B5E93" w:rsidRDefault="007B197B" w:rsidP="007B197B">
            <w:pPr>
              <w:pStyle w:val="Heading2"/>
              <w:rPr>
                <w:rFonts w:ascii="Arial" w:hAnsi="Arial"/>
                <w:bCs w:val="0"/>
                <w:sz w:val="24"/>
              </w:rPr>
            </w:pPr>
            <w:r w:rsidRPr="002B5E93">
              <w:rPr>
                <w:rFonts w:ascii="Arial" w:hAnsi="Arial"/>
                <w:bCs w:val="0"/>
                <w:sz w:val="24"/>
              </w:rPr>
              <w:t>Department</w:t>
            </w:r>
          </w:p>
          <w:p w14:paraId="65DBE8A0" w14:textId="77777777" w:rsidR="007B197B" w:rsidRPr="002B5E93" w:rsidRDefault="007B197B" w:rsidP="007B197B">
            <w:pPr>
              <w:pStyle w:val="Heading2"/>
              <w:rPr>
                <w:rFonts w:ascii="Arial" w:hAnsi="Arial"/>
                <w:bCs w:val="0"/>
                <w:sz w:val="24"/>
              </w:rPr>
            </w:pPr>
          </w:p>
        </w:tc>
        <w:tc>
          <w:tcPr>
            <w:tcW w:w="3402" w:type="dxa"/>
            <w:tcBorders>
              <w:bottom w:val="single" w:sz="4" w:space="0" w:color="auto"/>
            </w:tcBorders>
          </w:tcPr>
          <w:p w14:paraId="40783DAF" w14:textId="77777777" w:rsidR="007B197B" w:rsidRPr="002B5E93" w:rsidRDefault="007B197B" w:rsidP="007B197B">
            <w:pPr>
              <w:rPr>
                <w:rFonts w:ascii="Arial" w:hAnsi="Arial"/>
              </w:rPr>
            </w:pPr>
            <w:r w:rsidRPr="002B5E93">
              <w:rPr>
                <w:rFonts w:ascii="Arial" w:hAnsi="Arial"/>
              </w:rPr>
              <w:t>Housing Management</w:t>
            </w:r>
          </w:p>
        </w:tc>
      </w:tr>
    </w:tbl>
    <w:p w14:paraId="28D6FF9C" w14:textId="77777777" w:rsidR="007B197B" w:rsidRPr="002B5E93" w:rsidRDefault="007B197B" w:rsidP="007B197B">
      <w:pPr>
        <w:pStyle w:val="WPNormal"/>
        <w:rPr>
          <w:rFonts w:ascii="Arial" w:hAnsi="Arial"/>
        </w:rPr>
      </w:pPr>
    </w:p>
    <w:p w14:paraId="5B18BAAB" w14:textId="77777777" w:rsidR="007B197B" w:rsidRPr="002B5E93" w:rsidRDefault="007B197B" w:rsidP="007B197B">
      <w:pPr>
        <w:pStyle w:val="WPNormal"/>
        <w:rPr>
          <w:rFonts w:ascii="Arial" w:hAnsi="Arial"/>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7B197B" w:rsidRPr="002B5E93" w14:paraId="3079A911" w14:textId="77777777">
        <w:tc>
          <w:tcPr>
            <w:tcW w:w="5778" w:type="dxa"/>
          </w:tcPr>
          <w:p w14:paraId="5EBE1866" w14:textId="77777777" w:rsidR="007B197B" w:rsidRPr="002B5E93" w:rsidRDefault="007B197B" w:rsidP="007B197B">
            <w:pPr>
              <w:pStyle w:val="Heading2"/>
              <w:rPr>
                <w:rFonts w:ascii="Arial" w:hAnsi="Arial"/>
                <w:bCs w:val="0"/>
                <w:sz w:val="24"/>
              </w:rPr>
            </w:pPr>
            <w:r w:rsidRPr="002B5E93">
              <w:rPr>
                <w:rFonts w:ascii="Arial" w:hAnsi="Arial"/>
                <w:bCs w:val="0"/>
                <w:sz w:val="24"/>
              </w:rPr>
              <w:t>Approval Date by Committee</w:t>
            </w:r>
          </w:p>
          <w:p w14:paraId="3DBAD892" w14:textId="77777777" w:rsidR="007B197B" w:rsidRPr="002B5E93" w:rsidRDefault="007B197B" w:rsidP="007B197B">
            <w:pPr>
              <w:rPr>
                <w:rFonts w:ascii="Arial" w:hAnsi="Arial"/>
              </w:rPr>
            </w:pPr>
          </w:p>
        </w:tc>
        <w:tc>
          <w:tcPr>
            <w:tcW w:w="3458" w:type="dxa"/>
          </w:tcPr>
          <w:p w14:paraId="441338DF" w14:textId="29804D5A" w:rsidR="007B197B" w:rsidRPr="002B5E93" w:rsidRDefault="003B11BF" w:rsidP="007B197B">
            <w:pPr>
              <w:rPr>
                <w:rFonts w:ascii="Arial" w:hAnsi="Arial"/>
              </w:rPr>
            </w:pPr>
            <w:r>
              <w:rPr>
                <w:rFonts w:ascii="Arial" w:hAnsi="Arial"/>
              </w:rPr>
              <w:t>24 May 2023</w:t>
            </w:r>
          </w:p>
        </w:tc>
      </w:tr>
    </w:tbl>
    <w:p w14:paraId="4657B3C9" w14:textId="77777777" w:rsidR="007B197B" w:rsidRPr="002B5E93" w:rsidRDefault="007B197B" w:rsidP="007B197B">
      <w:pPr>
        <w:rPr>
          <w:rFonts w:ascii="Arial" w:hAnsi="Arial"/>
        </w:rPr>
      </w:pPr>
    </w:p>
    <w:p w14:paraId="2D991238" w14:textId="77777777" w:rsidR="007B197B" w:rsidRPr="002B5E93" w:rsidRDefault="007B197B" w:rsidP="007B197B">
      <w:pPr>
        <w:rPr>
          <w:rFonts w:ascii="Arial" w:hAnsi="Arial"/>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4"/>
      </w:tblGrid>
      <w:tr w:rsidR="007B197B" w:rsidRPr="002B5E93" w14:paraId="3B6DCEB7" w14:textId="77777777">
        <w:trPr>
          <w:cantSplit/>
        </w:trPr>
        <w:tc>
          <w:tcPr>
            <w:tcW w:w="9224" w:type="dxa"/>
            <w:tcBorders>
              <w:top w:val="single" w:sz="4" w:space="0" w:color="auto"/>
              <w:left w:val="single" w:sz="4" w:space="0" w:color="auto"/>
              <w:bottom w:val="single" w:sz="4" w:space="0" w:color="auto"/>
              <w:right w:val="single" w:sz="4" w:space="0" w:color="auto"/>
            </w:tcBorders>
          </w:tcPr>
          <w:p w14:paraId="645CACE8" w14:textId="77777777" w:rsidR="007B197B" w:rsidRDefault="007B197B" w:rsidP="007B197B">
            <w:pPr>
              <w:rPr>
                <w:rFonts w:ascii="Arial" w:hAnsi="Arial"/>
                <w:b/>
              </w:rPr>
            </w:pPr>
            <w:r w:rsidRPr="002B5E93">
              <w:rPr>
                <w:rFonts w:ascii="Arial" w:hAnsi="Arial"/>
                <w:b/>
              </w:rPr>
              <w:t>Notes</w:t>
            </w:r>
          </w:p>
          <w:p w14:paraId="526233D2" w14:textId="77777777" w:rsidR="00C201E6" w:rsidRDefault="00C201E6" w:rsidP="007B197B">
            <w:pPr>
              <w:rPr>
                <w:rFonts w:ascii="Arial" w:hAnsi="Arial"/>
                <w:b/>
              </w:rPr>
            </w:pPr>
          </w:p>
          <w:p w14:paraId="1C6ADC94" w14:textId="77777777" w:rsidR="00C201E6" w:rsidRPr="004F2879" w:rsidRDefault="00C201E6" w:rsidP="007B197B">
            <w:pPr>
              <w:rPr>
                <w:rFonts w:ascii="Arial" w:hAnsi="Arial"/>
              </w:rPr>
            </w:pPr>
            <w:r w:rsidRPr="004F2879">
              <w:rPr>
                <w:rFonts w:ascii="Arial" w:hAnsi="Arial"/>
              </w:rPr>
              <w:t>Policy drawn up with reference to:</w:t>
            </w:r>
          </w:p>
          <w:p w14:paraId="4A9CD2B6" w14:textId="77777777" w:rsidR="00C201E6" w:rsidRPr="004F2879" w:rsidRDefault="00C201E6" w:rsidP="007B197B">
            <w:pPr>
              <w:rPr>
                <w:rFonts w:ascii="Arial" w:hAnsi="Arial"/>
              </w:rPr>
            </w:pPr>
          </w:p>
          <w:p w14:paraId="7D4C6BC0" w14:textId="77777777" w:rsidR="00C201E6" w:rsidRPr="004F2879" w:rsidRDefault="00C201E6" w:rsidP="007B197B">
            <w:pPr>
              <w:rPr>
                <w:rFonts w:ascii="Arial" w:hAnsi="Arial"/>
              </w:rPr>
            </w:pPr>
            <w:r w:rsidRPr="004F2879">
              <w:rPr>
                <w:rFonts w:ascii="Arial" w:hAnsi="Arial"/>
              </w:rPr>
              <w:t>Housing (Scotland) Act 2001</w:t>
            </w:r>
          </w:p>
          <w:p w14:paraId="77CEAA92" w14:textId="77777777" w:rsidR="00C201E6" w:rsidRDefault="00C201E6" w:rsidP="007B197B">
            <w:pPr>
              <w:rPr>
                <w:rFonts w:ascii="Arial" w:hAnsi="Arial"/>
              </w:rPr>
            </w:pPr>
            <w:r w:rsidRPr="004F2879">
              <w:rPr>
                <w:rFonts w:ascii="Arial" w:hAnsi="Arial"/>
              </w:rPr>
              <w:t>Civil Partner</w:t>
            </w:r>
            <w:r w:rsidR="0021568D" w:rsidRPr="004F2879">
              <w:rPr>
                <w:rFonts w:ascii="Arial" w:hAnsi="Arial"/>
              </w:rPr>
              <w:t>ship Act 2004</w:t>
            </w:r>
          </w:p>
          <w:p w14:paraId="4E728CC3" w14:textId="77777777" w:rsidR="006248E3" w:rsidRDefault="006248E3" w:rsidP="007B197B">
            <w:pPr>
              <w:rPr>
                <w:rFonts w:ascii="Arial" w:hAnsi="Arial"/>
              </w:rPr>
            </w:pPr>
            <w:r>
              <w:rPr>
                <w:rFonts w:ascii="Arial" w:hAnsi="Arial"/>
              </w:rPr>
              <w:t xml:space="preserve">Housing (Scotland) Act </w:t>
            </w:r>
            <w:r w:rsidR="00700EE7">
              <w:rPr>
                <w:rFonts w:ascii="Arial" w:hAnsi="Arial"/>
              </w:rPr>
              <w:t>2014</w:t>
            </w:r>
          </w:p>
          <w:p w14:paraId="1B8EFA12" w14:textId="77777777" w:rsidR="00BF7DBB" w:rsidRPr="004F2879" w:rsidRDefault="00BF7DBB" w:rsidP="007B197B">
            <w:pPr>
              <w:rPr>
                <w:rFonts w:ascii="Arial" w:hAnsi="Arial"/>
              </w:rPr>
            </w:pPr>
            <w:r>
              <w:rPr>
                <w:rFonts w:ascii="Arial" w:hAnsi="Arial"/>
              </w:rPr>
              <w:t>Social Housing Charter 2012, Reviewed 2016, 2021 Social Housing Charter 2022</w:t>
            </w:r>
          </w:p>
          <w:p w14:paraId="571C4739" w14:textId="77777777" w:rsidR="007B197B" w:rsidRPr="002B5E93" w:rsidRDefault="007B197B" w:rsidP="007B197B">
            <w:pPr>
              <w:rPr>
                <w:rFonts w:ascii="Arial" w:hAnsi="Arial"/>
              </w:rPr>
            </w:pPr>
          </w:p>
          <w:p w14:paraId="72E548DE" w14:textId="77777777" w:rsidR="007B197B" w:rsidRDefault="002C0930" w:rsidP="007B197B">
            <w:pPr>
              <w:rPr>
                <w:rFonts w:ascii="Arial" w:hAnsi="Arial"/>
              </w:rPr>
            </w:pPr>
            <w:r>
              <w:rPr>
                <w:rFonts w:ascii="Arial" w:hAnsi="Arial"/>
              </w:rPr>
              <w:t>This policy was originally approved on 10 September 2008</w:t>
            </w:r>
          </w:p>
          <w:p w14:paraId="612973D1" w14:textId="77777777" w:rsidR="00812CA9" w:rsidRDefault="00812CA9" w:rsidP="007B197B">
            <w:pPr>
              <w:rPr>
                <w:rFonts w:ascii="Arial" w:hAnsi="Arial"/>
              </w:rPr>
            </w:pPr>
            <w:r>
              <w:rPr>
                <w:rFonts w:ascii="Arial" w:hAnsi="Arial"/>
              </w:rPr>
              <w:t>This policy was reviewed at Committee on 13 June 2012</w:t>
            </w:r>
            <w:r w:rsidR="00195133">
              <w:rPr>
                <w:rFonts w:ascii="Arial" w:hAnsi="Arial"/>
              </w:rPr>
              <w:t>, 14 March 2018, October 2019</w:t>
            </w:r>
          </w:p>
          <w:p w14:paraId="0E4D0CD8" w14:textId="77777777" w:rsidR="007B197B" w:rsidRPr="002B5E93" w:rsidRDefault="007B197B" w:rsidP="007B197B">
            <w:pPr>
              <w:rPr>
                <w:rFonts w:ascii="Arial" w:hAnsi="Arial"/>
              </w:rPr>
            </w:pPr>
          </w:p>
          <w:p w14:paraId="3CF26DDF" w14:textId="77777777" w:rsidR="007B197B" w:rsidRPr="002B5E93" w:rsidRDefault="007B197B" w:rsidP="007B197B">
            <w:pPr>
              <w:rPr>
                <w:rFonts w:ascii="Arial" w:hAnsi="Arial"/>
              </w:rPr>
            </w:pPr>
          </w:p>
        </w:tc>
      </w:tr>
    </w:tbl>
    <w:p w14:paraId="7EA01FFD" w14:textId="77777777" w:rsidR="007B197B" w:rsidRDefault="007B197B" w:rsidP="007B197B">
      <w:pPr>
        <w:rPr>
          <w:sz w:val="28"/>
        </w:rPr>
      </w:pPr>
    </w:p>
    <w:p w14:paraId="5FF8211F" w14:textId="77777777" w:rsidR="007B197B" w:rsidRDefault="007B197B" w:rsidP="007B197B">
      <w:pPr>
        <w:rPr>
          <w:sz w:val="28"/>
        </w:rPr>
      </w:pPr>
    </w:p>
    <w:p w14:paraId="4D1B97F9" w14:textId="77777777" w:rsidR="00195133" w:rsidRDefault="00195133" w:rsidP="007B197B">
      <w:pPr>
        <w:rPr>
          <w:sz w:val="28"/>
        </w:rPr>
      </w:pPr>
    </w:p>
    <w:p w14:paraId="36A21302" w14:textId="77777777" w:rsidR="00195133" w:rsidRDefault="00195133" w:rsidP="007B197B">
      <w:pPr>
        <w:rPr>
          <w:sz w:val="28"/>
        </w:rPr>
      </w:pPr>
    </w:p>
    <w:p w14:paraId="02C00E9E" w14:textId="77777777" w:rsidR="00195133" w:rsidRDefault="00195133" w:rsidP="007B197B">
      <w:pPr>
        <w:rPr>
          <w:sz w:val="28"/>
        </w:rPr>
      </w:pPr>
    </w:p>
    <w:p w14:paraId="1CFD838A" w14:textId="77777777" w:rsidR="00195133" w:rsidRDefault="00195133" w:rsidP="007B197B">
      <w:pPr>
        <w:rPr>
          <w:sz w:val="28"/>
        </w:rPr>
      </w:pPr>
    </w:p>
    <w:p w14:paraId="44AC0B31" w14:textId="77777777" w:rsidR="00195133" w:rsidRDefault="00195133" w:rsidP="007B197B">
      <w:pPr>
        <w:rPr>
          <w:sz w:val="28"/>
        </w:rPr>
      </w:pPr>
    </w:p>
    <w:p w14:paraId="17364147" w14:textId="77777777" w:rsidR="00195133" w:rsidRDefault="00195133" w:rsidP="007B197B">
      <w:pPr>
        <w:rPr>
          <w:sz w:val="28"/>
        </w:rPr>
      </w:pPr>
    </w:p>
    <w:p w14:paraId="1772F88B" w14:textId="77777777" w:rsidR="00812CA9" w:rsidRDefault="00812CA9" w:rsidP="007B197B">
      <w:pPr>
        <w:rPr>
          <w:sz w:val="28"/>
        </w:rPr>
      </w:pPr>
    </w:p>
    <w:p w14:paraId="30B5A55E" w14:textId="77777777" w:rsidR="00812CA9" w:rsidRDefault="00812CA9" w:rsidP="007B197B">
      <w:pPr>
        <w:rPr>
          <w:sz w:val="28"/>
        </w:rPr>
      </w:pPr>
    </w:p>
    <w:p w14:paraId="4395DBD1" w14:textId="77777777" w:rsidR="00054049" w:rsidRPr="00893427" w:rsidRDefault="00893427" w:rsidP="00054049">
      <w:pPr>
        <w:spacing w:line="360" w:lineRule="auto"/>
        <w:jc w:val="center"/>
        <w:rPr>
          <w:rFonts w:ascii="Arial" w:hAnsi="Arial" w:cs="Arial"/>
          <w:b/>
          <w:sz w:val="32"/>
          <w:szCs w:val="32"/>
          <w:u w:val="single"/>
          <w:lang w:val="en-GB"/>
        </w:rPr>
      </w:pPr>
      <w:r w:rsidRPr="00893427">
        <w:rPr>
          <w:rFonts w:ascii="Arial" w:hAnsi="Arial" w:cs="Arial"/>
          <w:b/>
          <w:sz w:val="32"/>
          <w:szCs w:val="32"/>
          <w:u w:val="single"/>
          <w:lang w:val="en-GB"/>
        </w:rPr>
        <w:t xml:space="preserve">ANGUS </w:t>
      </w:r>
      <w:r w:rsidR="00054049" w:rsidRPr="00893427">
        <w:rPr>
          <w:rFonts w:ascii="Arial" w:hAnsi="Arial" w:cs="Arial"/>
          <w:b/>
          <w:sz w:val="32"/>
          <w:szCs w:val="32"/>
          <w:u w:val="single"/>
          <w:lang w:val="en-GB"/>
        </w:rPr>
        <w:t>HOUSING ASSOCIATION LIMITED</w:t>
      </w:r>
    </w:p>
    <w:p w14:paraId="671EC481" w14:textId="77777777" w:rsidR="00054049" w:rsidRPr="00893427" w:rsidRDefault="00054049" w:rsidP="00054049">
      <w:pPr>
        <w:spacing w:line="360" w:lineRule="auto"/>
        <w:jc w:val="center"/>
        <w:rPr>
          <w:rFonts w:ascii="Arial" w:hAnsi="Arial" w:cs="Arial"/>
          <w:b/>
          <w:sz w:val="32"/>
          <w:szCs w:val="32"/>
          <w:u w:val="single"/>
          <w:lang w:val="en-GB"/>
        </w:rPr>
      </w:pPr>
      <w:r w:rsidRPr="00893427">
        <w:rPr>
          <w:rFonts w:ascii="Arial" w:hAnsi="Arial" w:cs="Arial"/>
          <w:b/>
          <w:sz w:val="32"/>
          <w:szCs w:val="32"/>
          <w:u w:val="single"/>
          <w:lang w:val="en-GB"/>
        </w:rPr>
        <w:t>TENANCY SUCCESSION POLICY</w:t>
      </w:r>
    </w:p>
    <w:p w14:paraId="22657211" w14:textId="77777777" w:rsidR="00054049" w:rsidRDefault="00054049" w:rsidP="00054049">
      <w:pPr>
        <w:spacing w:line="360" w:lineRule="auto"/>
        <w:jc w:val="center"/>
        <w:rPr>
          <w:rFonts w:ascii="Arial" w:hAnsi="Arial" w:cs="Arial"/>
          <w:b/>
          <w:lang w:val="en-GB"/>
        </w:rPr>
      </w:pPr>
    </w:p>
    <w:p w14:paraId="28D5AA8D" w14:textId="77777777" w:rsidR="00054049" w:rsidRPr="00A757F6" w:rsidRDefault="00054049" w:rsidP="00054049">
      <w:pPr>
        <w:numPr>
          <w:ilvl w:val="0"/>
          <w:numId w:val="1"/>
        </w:numPr>
        <w:spacing w:line="360" w:lineRule="auto"/>
        <w:rPr>
          <w:rFonts w:ascii="Arial" w:hAnsi="Arial" w:cs="Arial"/>
          <w:b/>
          <w:u w:val="single"/>
          <w:lang w:val="en-GB"/>
        </w:rPr>
      </w:pPr>
      <w:r w:rsidRPr="00A757F6">
        <w:rPr>
          <w:rFonts w:ascii="Arial" w:hAnsi="Arial" w:cs="Arial"/>
          <w:b/>
          <w:u w:val="single"/>
          <w:lang w:val="en-GB"/>
        </w:rPr>
        <w:t xml:space="preserve">Introduction </w:t>
      </w:r>
    </w:p>
    <w:p w14:paraId="27FCBBCA" w14:textId="77777777" w:rsidR="00054049" w:rsidRDefault="00054049" w:rsidP="00054049">
      <w:pPr>
        <w:spacing w:line="360" w:lineRule="auto"/>
        <w:ind w:left="360"/>
        <w:rPr>
          <w:rFonts w:ascii="Arial" w:hAnsi="Arial" w:cs="Arial"/>
          <w:b/>
          <w:lang w:val="en-GB"/>
        </w:rPr>
      </w:pPr>
    </w:p>
    <w:p w14:paraId="25BD02AF" w14:textId="77777777" w:rsidR="00054049" w:rsidRDefault="00054049" w:rsidP="00054049">
      <w:pPr>
        <w:spacing w:line="360" w:lineRule="auto"/>
        <w:ind w:left="360"/>
        <w:rPr>
          <w:rFonts w:ascii="Arial" w:hAnsi="Arial" w:cs="Arial"/>
          <w:lang w:val="en-GB"/>
        </w:rPr>
      </w:pPr>
      <w:r w:rsidRPr="00054049">
        <w:rPr>
          <w:rFonts w:ascii="Arial" w:hAnsi="Arial" w:cs="Arial"/>
          <w:lang w:val="en-GB"/>
        </w:rPr>
        <w:t>The</w:t>
      </w:r>
      <w:r>
        <w:rPr>
          <w:rFonts w:ascii="Arial" w:hAnsi="Arial" w:cs="Arial"/>
          <w:lang w:val="en-GB"/>
        </w:rPr>
        <w:t xml:space="preserve"> purpose </w:t>
      </w:r>
      <w:r w:rsidR="00A757F6">
        <w:rPr>
          <w:rFonts w:ascii="Arial" w:hAnsi="Arial" w:cs="Arial"/>
          <w:lang w:val="en-GB"/>
        </w:rPr>
        <w:t>of this policy is to outline</w:t>
      </w:r>
      <w:r>
        <w:rPr>
          <w:rFonts w:ascii="Arial" w:hAnsi="Arial" w:cs="Arial"/>
          <w:lang w:val="en-GB"/>
        </w:rPr>
        <w:t xml:space="preserve"> Angus Housing Association’s management of succession right</w:t>
      </w:r>
      <w:r w:rsidR="00A757F6">
        <w:rPr>
          <w:rFonts w:ascii="Arial" w:hAnsi="Arial" w:cs="Arial"/>
          <w:lang w:val="en-GB"/>
        </w:rPr>
        <w:t>s</w:t>
      </w:r>
      <w:r>
        <w:rPr>
          <w:rFonts w:ascii="Arial" w:hAnsi="Arial" w:cs="Arial"/>
          <w:lang w:val="en-GB"/>
        </w:rPr>
        <w:t xml:space="preserve"> to </w:t>
      </w:r>
      <w:r w:rsidR="007B197B" w:rsidRPr="007B197B">
        <w:rPr>
          <w:rFonts w:ascii="Arial" w:hAnsi="Arial" w:cs="Arial"/>
          <w:lang w:val="en-GB"/>
        </w:rPr>
        <w:t>Angus Housing Association</w:t>
      </w:r>
      <w:r w:rsidR="007B197B">
        <w:rPr>
          <w:rFonts w:ascii="Arial" w:hAnsi="Arial" w:cs="Arial"/>
          <w:lang w:val="en-GB"/>
        </w:rPr>
        <w:t xml:space="preserve"> </w:t>
      </w:r>
      <w:r>
        <w:rPr>
          <w:rFonts w:ascii="Arial" w:hAnsi="Arial" w:cs="Arial"/>
          <w:lang w:val="en-GB"/>
        </w:rPr>
        <w:t>tenancies as prescribed by the Housing (Scotland) Act 2001 (HSA 2001)</w:t>
      </w:r>
      <w:r w:rsidR="00902996">
        <w:rPr>
          <w:rFonts w:ascii="Arial" w:hAnsi="Arial" w:cs="Arial"/>
          <w:lang w:val="en-GB"/>
        </w:rPr>
        <w:t xml:space="preserve"> and amended by the Housing </w:t>
      </w:r>
      <w:r w:rsidR="008B2FCD">
        <w:rPr>
          <w:rFonts w:ascii="Arial" w:hAnsi="Arial" w:cs="Arial"/>
          <w:lang w:val="en-GB"/>
        </w:rPr>
        <w:t>(Scotland) Act 2014</w:t>
      </w:r>
      <w:r w:rsidR="00417FBB">
        <w:rPr>
          <w:rFonts w:ascii="Arial" w:hAnsi="Arial" w:cs="Arial"/>
          <w:lang w:val="en-GB"/>
        </w:rPr>
        <w:t xml:space="preserve"> (HSA 2014)</w:t>
      </w:r>
      <w:r w:rsidR="009619BB">
        <w:rPr>
          <w:rFonts w:ascii="Arial" w:hAnsi="Arial" w:cs="Arial"/>
          <w:lang w:val="en-GB"/>
        </w:rPr>
        <w:t xml:space="preserve">. </w:t>
      </w:r>
    </w:p>
    <w:p w14:paraId="5F1CC64B" w14:textId="77777777" w:rsidR="009619BB" w:rsidRDefault="009619BB" w:rsidP="00054049">
      <w:pPr>
        <w:spacing w:line="360" w:lineRule="auto"/>
        <w:ind w:left="360"/>
        <w:rPr>
          <w:rFonts w:ascii="Arial" w:hAnsi="Arial" w:cs="Arial"/>
          <w:lang w:val="en-GB"/>
        </w:rPr>
      </w:pPr>
    </w:p>
    <w:p w14:paraId="6DF01977" w14:textId="77777777" w:rsidR="009619BB" w:rsidRPr="00DB0DCB" w:rsidRDefault="00DB0DCB" w:rsidP="009619BB">
      <w:pPr>
        <w:pStyle w:val="ListParagraph"/>
        <w:numPr>
          <w:ilvl w:val="0"/>
          <w:numId w:val="1"/>
        </w:numPr>
        <w:spacing w:line="360" w:lineRule="auto"/>
        <w:rPr>
          <w:rFonts w:ascii="Arial" w:hAnsi="Arial" w:cs="Arial"/>
          <w:lang w:val="en-GB"/>
        </w:rPr>
      </w:pPr>
      <w:r>
        <w:rPr>
          <w:rFonts w:ascii="Arial" w:hAnsi="Arial" w:cs="Arial"/>
          <w:b/>
          <w:u w:val="single"/>
          <w:lang w:val="en-GB"/>
        </w:rPr>
        <w:t xml:space="preserve">Definition of Succession </w:t>
      </w:r>
    </w:p>
    <w:p w14:paraId="2F0DCB7D" w14:textId="77777777" w:rsidR="00DB0DCB" w:rsidRDefault="00DB0DCB" w:rsidP="00DB0DCB">
      <w:pPr>
        <w:spacing w:line="360" w:lineRule="auto"/>
        <w:ind w:left="360"/>
        <w:rPr>
          <w:rFonts w:ascii="Arial" w:hAnsi="Arial" w:cs="Arial"/>
          <w:lang w:val="en-GB"/>
        </w:rPr>
      </w:pPr>
    </w:p>
    <w:p w14:paraId="3F444B8F" w14:textId="77777777" w:rsidR="00BD2092" w:rsidRPr="00F566B6" w:rsidRDefault="00802185" w:rsidP="00F566B6">
      <w:pPr>
        <w:spacing w:line="360" w:lineRule="auto"/>
        <w:ind w:left="360"/>
        <w:rPr>
          <w:rFonts w:ascii="Arial" w:hAnsi="Arial" w:cs="Arial"/>
          <w:i/>
          <w:lang w:val="en-GB"/>
        </w:rPr>
      </w:pPr>
      <w:r>
        <w:rPr>
          <w:rFonts w:ascii="Arial" w:hAnsi="Arial" w:cs="Arial"/>
          <w:lang w:val="en-GB"/>
        </w:rPr>
        <w:t xml:space="preserve">Succession is the passing of a </w:t>
      </w:r>
      <w:r w:rsidR="00F344BE">
        <w:rPr>
          <w:rFonts w:ascii="Arial" w:hAnsi="Arial" w:cs="Arial"/>
          <w:lang w:val="en-GB"/>
        </w:rPr>
        <w:t xml:space="preserve">tenancy from a tenant who has </w:t>
      </w:r>
      <w:r w:rsidR="00A0502B">
        <w:rPr>
          <w:rFonts w:ascii="Arial" w:hAnsi="Arial" w:cs="Arial"/>
          <w:lang w:val="en-GB"/>
        </w:rPr>
        <w:t xml:space="preserve">died to another person </w:t>
      </w:r>
      <w:r w:rsidR="004168AD">
        <w:rPr>
          <w:rFonts w:ascii="Arial" w:hAnsi="Arial" w:cs="Arial"/>
          <w:lang w:val="en-GB"/>
        </w:rPr>
        <w:t>who</w:t>
      </w:r>
      <w:r w:rsidR="00A0502B">
        <w:rPr>
          <w:rFonts w:ascii="Arial" w:hAnsi="Arial" w:cs="Arial"/>
          <w:lang w:val="en-GB"/>
        </w:rPr>
        <w:t xml:space="preserve"> </w:t>
      </w:r>
      <w:r w:rsidR="004168AD">
        <w:rPr>
          <w:rFonts w:ascii="Arial" w:hAnsi="Arial" w:cs="Arial"/>
          <w:lang w:val="en-GB"/>
        </w:rPr>
        <w:t>becomes the</w:t>
      </w:r>
      <w:r w:rsidR="00A0502B">
        <w:rPr>
          <w:rFonts w:ascii="Arial" w:hAnsi="Arial" w:cs="Arial"/>
          <w:lang w:val="en-GB"/>
        </w:rPr>
        <w:t xml:space="preserve"> new tenant</w:t>
      </w:r>
      <w:r w:rsidR="004168AD">
        <w:rPr>
          <w:rFonts w:ascii="Arial" w:hAnsi="Arial" w:cs="Arial"/>
          <w:lang w:val="en-GB"/>
        </w:rPr>
        <w:t>, know as</w:t>
      </w:r>
      <w:r w:rsidR="00BF491E">
        <w:rPr>
          <w:rFonts w:ascii="Arial" w:hAnsi="Arial" w:cs="Arial"/>
          <w:lang w:val="en-GB"/>
        </w:rPr>
        <w:t xml:space="preserve"> the </w:t>
      </w:r>
      <w:r w:rsidR="00BF491E">
        <w:rPr>
          <w:rFonts w:ascii="Arial" w:hAnsi="Arial" w:cs="Arial"/>
          <w:i/>
          <w:lang w:val="en-GB"/>
        </w:rPr>
        <w:t>successor</w:t>
      </w:r>
      <w:r w:rsidR="00BD2092">
        <w:rPr>
          <w:rFonts w:ascii="Arial" w:hAnsi="Arial" w:cs="Arial"/>
          <w:i/>
          <w:lang w:val="en-GB"/>
        </w:rPr>
        <w:t xml:space="preserve">. </w:t>
      </w:r>
    </w:p>
    <w:p w14:paraId="3A137BED" w14:textId="77777777" w:rsidR="00054049" w:rsidRDefault="00054049" w:rsidP="00054049">
      <w:pPr>
        <w:spacing w:line="360" w:lineRule="auto"/>
        <w:ind w:left="360"/>
        <w:rPr>
          <w:rFonts w:ascii="Arial" w:hAnsi="Arial" w:cs="Arial"/>
          <w:lang w:val="en-GB"/>
        </w:rPr>
      </w:pPr>
    </w:p>
    <w:p w14:paraId="1885F7CF" w14:textId="77777777" w:rsidR="00054049" w:rsidRPr="00A757F6" w:rsidRDefault="00054049" w:rsidP="00054049">
      <w:pPr>
        <w:numPr>
          <w:ilvl w:val="0"/>
          <w:numId w:val="1"/>
        </w:numPr>
        <w:spacing w:line="360" w:lineRule="auto"/>
        <w:rPr>
          <w:rFonts w:ascii="Arial" w:hAnsi="Arial" w:cs="Arial"/>
          <w:b/>
          <w:u w:val="single"/>
          <w:lang w:val="en-GB"/>
        </w:rPr>
      </w:pPr>
      <w:r w:rsidRPr="00A757F6">
        <w:rPr>
          <w:rFonts w:ascii="Arial" w:hAnsi="Arial" w:cs="Arial"/>
          <w:b/>
          <w:u w:val="single"/>
          <w:lang w:val="en-GB"/>
        </w:rPr>
        <w:t>Application to Succeed to a Tenancy</w:t>
      </w:r>
    </w:p>
    <w:p w14:paraId="66808954" w14:textId="77777777" w:rsidR="00054049" w:rsidRDefault="00054049" w:rsidP="00054049">
      <w:pPr>
        <w:spacing w:line="360" w:lineRule="auto"/>
        <w:ind w:left="360"/>
        <w:rPr>
          <w:rFonts w:ascii="Arial" w:hAnsi="Arial" w:cs="Arial"/>
          <w:lang w:val="en-GB"/>
        </w:rPr>
      </w:pPr>
    </w:p>
    <w:p w14:paraId="6C214024" w14:textId="77777777" w:rsidR="00DB25FF" w:rsidRDefault="00DB25FF" w:rsidP="00C536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ind w:left="1080" w:hanging="1080"/>
        <w:rPr>
          <w:rFonts w:ascii="Arial" w:hAnsi="Arial"/>
          <w:spacing w:val="-3"/>
          <w:lang w:val="en-GB"/>
        </w:rPr>
      </w:pPr>
      <w:r>
        <w:rPr>
          <w:rFonts w:ascii="Arial" w:hAnsi="Arial"/>
          <w:spacing w:val="-3"/>
          <w:lang w:val="en-GB"/>
        </w:rPr>
        <w:tab/>
        <w:t>For there to be a succession to a tenancy</w:t>
      </w:r>
      <w:r w:rsidR="00A757F6">
        <w:rPr>
          <w:rFonts w:ascii="Arial" w:hAnsi="Arial"/>
          <w:spacing w:val="-3"/>
          <w:lang w:val="en-GB"/>
        </w:rPr>
        <w:t>,</w:t>
      </w:r>
      <w:r>
        <w:rPr>
          <w:rFonts w:ascii="Arial" w:hAnsi="Arial"/>
          <w:spacing w:val="-3"/>
          <w:lang w:val="en-GB"/>
        </w:rPr>
        <w:t xml:space="preserve"> there are two essential conditions:</w:t>
      </w:r>
    </w:p>
    <w:p w14:paraId="52A6A31B" w14:textId="77777777" w:rsidR="00DB25FF" w:rsidRDefault="00DB25FF" w:rsidP="00C536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spacing w:val="-3"/>
          <w:lang w:val="en-GB"/>
        </w:rPr>
      </w:pPr>
      <w:r>
        <w:rPr>
          <w:rFonts w:ascii="Arial" w:hAnsi="Arial"/>
          <w:spacing w:val="-3"/>
          <w:lang w:val="en-GB"/>
        </w:rPr>
        <w:tab/>
      </w:r>
      <w:r>
        <w:rPr>
          <w:rFonts w:ascii="Arial" w:hAnsi="Arial"/>
          <w:spacing w:val="-3"/>
          <w:lang w:val="en-GB"/>
        </w:rPr>
        <w:tab/>
      </w:r>
    </w:p>
    <w:p w14:paraId="5DCC30BA" w14:textId="77777777" w:rsidR="00DB25FF" w:rsidRDefault="00DB25FF" w:rsidP="00C53675">
      <w:pPr>
        <w:widowControl w:val="0"/>
        <w:numPr>
          <w:ilvl w:val="0"/>
          <w:numId w:val="9"/>
        </w:numPr>
        <w:tabs>
          <w:tab w:val="clear" w:pos="360"/>
          <w:tab w:val="left" w:pos="0"/>
          <w:tab w:val="num"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ind w:left="1080"/>
        <w:rPr>
          <w:rFonts w:ascii="Arial" w:hAnsi="Arial"/>
          <w:spacing w:val="-3"/>
          <w:lang w:val="en-GB"/>
        </w:rPr>
      </w:pPr>
      <w:r>
        <w:rPr>
          <w:rFonts w:ascii="Arial" w:hAnsi="Arial"/>
          <w:spacing w:val="-3"/>
          <w:lang w:val="en-GB"/>
        </w:rPr>
        <w:t xml:space="preserve">The tenant must be </w:t>
      </w:r>
      <w:proofErr w:type="gramStart"/>
      <w:r>
        <w:rPr>
          <w:rFonts w:ascii="Arial" w:hAnsi="Arial"/>
          <w:spacing w:val="-3"/>
          <w:lang w:val="en-GB"/>
        </w:rPr>
        <w:t>deceased</w:t>
      </w:r>
      <w:proofErr w:type="gramEnd"/>
      <w:r w:rsidR="004E0BA8">
        <w:rPr>
          <w:rFonts w:ascii="Arial" w:hAnsi="Arial"/>
          <w:spacing w:val="-3"/>
          <w:lang w:val="en-GB"/>
        </w:rPr>
        <w:t xml:space="preserve">   </w:t>
      </w:r>
    </w:p>
    <w:p w14:paraId="7D763B50" w14:textId="77777777" w:rsidR="00DB25FF" w:rsidRDefault="00DB25FF" w:rsidP="00C536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rPr>
          <w:rFonts w:ascii="Arial" w:hAnsi="Arial"/>
          <w:spacing w:val="-3"/>
          <w:lang w:val="en-GB"/>
        </w:rPr>
      </w:pPr>
    </w:p>
    <w:p w14:paraId="3BCE73E8" w14:textId="77777777" w:rsidR="00DB25FF" w:rsidRDefault="00DB25FF" w:rsidP="00C53675">
      <w:pPr>
        <w:widowControl w:val="0"/>
        <w:numPr>
          <w:ilvl w:val="0"/>
          <w:numId w:val="10"/>
        </w:numPr>
        <w:tabs>
          <w:tab w:val="clear" w:pos="360"/>
          <w:tab w:val="left" w:pos="0"/>
          <w:tab w:val="num"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ind w:left="1080"/>
        <w:rPr>
          <w:rFonts w:ascii="Arial" w:hAnsi="Arial"/>
          <w:spacing w:val="-3"/>
          <w:lang w:val="en-GB"/>
        </w:rPr>
      </w:pPr>
      <w:r>
        <w:rPr>
          <w:rFonts w:ascii="Arial" w:hAnsi="Arial"/>
          <w:spacing w:val="-3"/>
          <w:lang w:val="en-GB"/>
        </w:rPr>
        <w:t>There is a second condition - there must be a "qualified person" to</w:t>
      </w:r>
    </w:p>
    <w:p w14:paraId="7A417141" w14:textId="77777777" w:rsidR="00DB25FF" w:rsidRDefault="00DB25FF" w:rsidP="00C5367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uppressAutoHyphens/>
        <w:spacing w:line="360" w:lineRule="auto"/>
        <w:ind w:left="1080"/>
        <w:rPr>
          <w:rFonts w:ascii="Arial" w:hAnsi="Arial"/>
          <w:spacing w:val="-3"/>
          <w:lang w:val="en-GB"/>
        </w:rPr>
      </w:pPr>
      <w:r>
        <w:rPr>
          <w:rFonts w:ascii="Arial" w:hAnsi="Arial"/>
          <w:spacing w:val="-3"/>
          <w:lang w:val="en-GB"/>
        </w:rPr>
        <w:t>succeed.  A qualified person is described in Schedule 3 to the Housing (Scotland) Act 2001 - see below.</w:t>
      </w:r>
    </w:p>
    <w:p w14:paraId="3BA2D2FC" w14:textId="77777777" w:rsidR="00DB25FF" w:rsidRDefault="00DB25FF" w:rsidP="00054049">
      <w:pPr>
        <w:spacing w:line="360" w:lineRule="auto"/>
        <w:ind w:left="360"/>
        <w:rPr>
          <w:rFonts w:ascii="Arial" w:hAnsi="Arial" w:cs="Arial"/>
          <w:lang w:val="en-GB"/>
        </w:rPr>
      </w:pPr>
    </w:p>
    <w:p w14:paraId="7084D780" w14:textId="77777777" w:rsidR="007F7C8F" w:rsidRDefault="007F7C8F" w:rsidP="007F7C8F">
      <w:pPr>
        <w:spacing w:line="360" w:lineRule="auto"/>
        <w:ind w:left="360"/>
        <w:rPr>
          <w:rFonts w:ascii="Arial" w:hAnsi="Arial" w:cs="Arial"/>
          <w:lang w:val="en-GB"/>
        </w:rPr>
      </w:pPr>
      <w:r w:rsidRPr="00054049">
        <w:rPr>
          <w:rFonts w:ascii="Arial" w:hAnsi="Arial" w:cs="Arial"/>
          <w:lang w:val="en-GB"/>
        </w:rPr>
        <w:t>Angus Housing Association</w:t>
      </w:r>
      <w:r>
        <w:rPr>
          <w:rFonts w:ascii="Arial" w:hAnsi="Arial" w:cs="Arial"/>
          <w:lang w:val="en-GB"/>
        </w:rPr>
        <w:t xml:space="preserve"> will respond to any claim for succession rights to a tenancy in accordance with the qualifying criteria specified in the HSA 2001 &amp; HSA 2014.  </w:t>
      </w:r>
    </w:p>
    <w:p w14:paraId="334C2E0E" w14:textId="77777777" w:rsidR="002E3225" w:rsidRDefault="002E3225" w:rsidP="007F7C8F">
      <w:pPr>
        <w:spacing w:line="360" w:lineRule="auto"/>
        <w:rPr>
          <w:rFonts w:ascii="Arial" w:hAnsi="Arial" w:cs="Arial"/>
          <w:lang w:val="en-GB"/>
        </w:rPr>
      </w:pPr>
    </w:p>
    <w:p w14:paraId="0C8F9FF0" w14:textId="77777777" w:rsidR="002E0C77" w:rsidRPr="00A757F6" w:rsidRDefault="00447355" w:rsidP="00447355">
      <w:pPr>
        <w:numPr>
          <w:ilvl w:val="0"/>
          <w:numId w:val="1"/>
        </w:numPr>
        <w:spacing w:line="360" w:lineRule="auto"/>
        <w:rPr>
          <w:rFonts w:ascii="Arial" w:hAnsi="Arial" w:cs="Arial"/>
          <w:b/>
          <w:u w:val="single"/>
          <w:lang w:val="en-GB"/>
        </w:rPr>
      </w:pPr>
      <w:r w:rsidRPr="00A757F6">
        <w:rPr>
          <w:rFonts w:ascii="Arial" w:hAnsi="Arial" w:cs="Arial"/>
          <w:b/>
          <w:u w:val="single"/>
          <w:lang w:val="en-GB"/>
        </w:rPr>
        <w:t xml:space="preserve">Qualification to Succeed to a Tenancy </w:t>
      </w:r>
    </w:p>
    <w:p w14:paraId="7CF76D49" w14:textId="77777777" w:rsidR="00447355" w:rsidRDefault="00447355" w:rsidP="00447355">
      <w:pPr>
        <w:spacing w:line="360" w:lineRule="auto"/>
        <w:ind w:left="360"/>
        <w:rPr>
          <w:rFonts w:ascii="Arial" w:hAnsi="Arial" w:cs="Arial"/>
          <w:lang w:val="en-GB"/>
        </w:rPr>
      </w:pPr>
    </w:p>
    <w:p w14:paraId="3B288514" w14:textId="77777777" w:rsidR="00447355" w:rsidRDefault="00447355" w:rsidP="00447355">
      <w:pPr>
        <w:spacing w:line="360" w:lineRule="auto"/>
        <w:ind w:left="360"/>
        <w:rPr>
          <w:rFonts w:ascii="Arial" w:hAnsi="Arial" w:cs="Arial"/>
          <w:lang w:val="en-GB"/>
        </w:rPr>
      </w:pPr>
      <w:r>
        <w:rPr>
          <w:rFonts w:ascii="Arial" w:hAnsi="Arial" w:cs="Arial"/>
          <w:lang w:val="en-GB"/>
        </w:rPr>
        <w:t xml:space="preserve">For </w:t>
      </w:r>
      <w:proofErr w:type="gramStart"/>
      <w:r>
        <w:rPr>
          <w:rFonts w:ascii="Arial" w:hAnsi="Arial" w:cs="Arial"/>
          <w:lang w:val="en-GB"/>
        </w:rPr>
        <w:t>both of the two</w:t>
      </w:r>
      <w:proofErr w:type="gramEnd"/>
      <w:r>
        <w:rPr>
          <w:rFonts w:ascii="Arial" w:hAnsi="Arial" w:cs="Arial"/>
          <w:lang w:val="en-GB"/>
        </w:rPr>
        <w:t xml:space="preserve"> succession occasions</w:t>
      </w:r>
      <w:r w:rsidR="00A757F6">
        <w:rPr>
          <w:rFonts w:ascii="Arial" w:hAnsi="Arial" w:cs="Arial"/>
          <w:lang w:val="en-GB"/>
        </w:rPr>
        <w:t>,</w:t>
      </w:r>
      <w:r>
        <w:rPr>
          <w:rFonts w:ascii="Arial" w:hAnsi="Arial" w:cs="Arial"/>
          <w:lang w:val="en-GB"/>
        </w:rPr>
        <w:t xml:space="preserve"> there are 3 levels of qualifying priority which Angus Housing Association must consider in sequence:</w:t>
      </w:r>
    </w:p>
    <w:p w14:paraId="1C8617F9" w14:textId="77777777" w:rsidR="00447355" w:rsidRDefault="00447355" w:rsidP="00447355">
      <w:pPr>
        <w:spacing w:line="360" w:lineRule="auto"/>
        <w:ind w:left="360"/>
        <w:rPr>
          <w:rFonts w:ascii="Arial" w:hAnsi="Arial" w:cs="Arial"/>
          <w:lang w:val="en-GB"/>
        </w:rPr>
      </w:pPr>
    </w:p>
    <w:p w14:paraId="5F527EC7" w14:textId="77777777" w:rsidR="00BA5134" w:rsidRDefault="00BA5134" w:rsidP="0066155C">
      <w:pPr>
        <w:spacing w:line="360" w:lineRule="auto"/>
        <w:ind w:left="2160" w:hanging="1440"/>
        <w:rPr>
          <w:rFonts w:ascii="Arial" w:hAnsi="Arial" w:cs="Arial"/>
          <w:b/>
          <w:u w:val="single"/>
          <w:lang w:val="en-GB"/>
        </w:rPr>
      </w:pPr>
    </w:p>
    <w:p w14:paraId="7AD67188" w14:textId="77777777" w:rsidR="00447355" w:rsidRDefault="009B5390" w:rsidP="0066155C">
      <w:pPr>
        <w:spacing w:line="360" w:lineRule="auto"/>
        <w:ind w:left="2160" w:hanging="1440"/>
        <w:rPr>
          <w:rFonts w:ascii="Arial" w:hAnsi="Arial" w:cs="Arial"/>
          <w:lang w:val="en-GB"/>
        </w:rPr>
      </w:pPr>
      <w:r>
        <w:rPr>
          <w:rFonts w:ascii="Arial" w:hAnsi="Arial" w:cs="Arial"/>
          <w:b/>
          <w:u w:val="single"/>
          <w:lang w:val="en-GB"/>
        </w:rPr>
        <w:t xml:space="preserve">Level </w:t>
      </w:r>
      <w:r w:rsidR="00447355" w:rsidRPr="00893427">
        <w:rPr>
          <w:rFonts w:ascii="Arial" w:hAnsi="Arial" w:cs="Arial"/>
          <w:b/>
          <w:u w:val="single"/>
          <w:lang w:val="en-GB"/>
        </w:rPr>
        <w:t>1</w:t>
      </w:r>
      <w:r w:rsidR="00447355">
        <w:rPr>
          <w:rFonts w:ascii="Arial" w:hAnsi="Arial" w:cs="Arial"/>
          <w:lang w:val="en-GB"/>
        </w:rPr>
        <w:t xml:space="preserve"> </w:t>
      </w:r>
      <w:r w:rsidR="00447355">
        <w:rPr>
          <w:rFonts w:ascii="Arial" w:hAnsi="Arial" w:cs="Arial"/>
          <w:lang w:val="en-GB"/>
        </w:rPr>
        <w:tab/>
        <w:t>The first level</w:t>
      </w:r>
      <w:r w:rsidR="00A757F6">
        <w:rPr>
          <w:rFonts w:ascii="Arial" w:hAnsi="Arial" w:cs="Arial"/>
          <w:lang w:val="en-GB"/>
        </w:rPr>
        <w:t xml:space="preserve"> of priority in terms of the HSA</w:t>
      </w:r>
      <w:r w:rsidR="00447355">
        <w:rPr>
          <w:rFonts w:ascii="Arial" w:hAnsi="Arial" w:cs="Arial"/>
          <w:lang w:val="en-GB"/>
        </w:rPr>
        <w:t xml:space="preserve"> 2001 is the priority given to the surviving spouse</w:t>
      </w:r>
      <w:r w:rsidR="00431F0D">
        <w:rPr>
          <w:rFonts w:ascii="Arial" w:hAnsi="Arial" w:cs="Arial"/>
          <w:lang w:val="en-GB"/>
        </w:rPr>
        <w:t>,</w:t>
      </w:r>
      <w:r w:rsidR="00490411">
        <w:rPr>
          <w:rFonts w:ascii="Arial" w:hAnsi="Arial" w:cs="Arial"/>
          <w:lang w:val="en-GB"/>
        </w:rPr>
        <w:t xml:space="preserve"> </w:t>
      </w:r>
      <w:r w:rsidR="00431F0D">
        <w:rPr>
          <w:rFonts w:ascii="Arial" w:hAnsi="Arial" w:cs="Arial"/>
          <w:lang w:val="en-GB"/>
        </w:rPr>
        <w:t>co-</w:t>
      </w:r>
      <w:proofErr w:type="spellStart"/>
      <w:r w:rsidR="00431F0D">
        <w:rPr>
          <w:rFonts w:ascii="Arial" w:hAnsi="Arial" w:cs="Arial"/>
          <w:lang w:val="en-GB"/>
        </w:rPr>
        <w:t>habitee</w:t>
      </w:r>
      <w:proofErr w:type="spellEnd"/>
      <w:r w:rsidR="00431F0D">
        <w:rPr>
          <w:rFonts w:ascii="Arial" w:hAnsi="Arial" w:cs="Arial"/>
          <w:lang w:val="en-GB"/>
        </w:rPr>
        <w:t xml:space="preserve"> of either sex</w:t>
      </w:r>
      <w:r w:rsidR="00447355">
        <w:rPr>
          <w:rFonts w:ascii="Arial" w:hAnsi="Arial" w:cs="Arial"/>
          <w:lang w:val="en-GB"/>
        </w:rPr>
        <w:t xml:space="preserve"> or to a joint tenant</w:t>
      </w:r>
      <w:r w:rsidR="00431F0D">
        <w:rPr>
          <w:rFonts w:ascii="Arial" w:hAnsi="Arial" w:cs="Arial"/>
          <w:lang w:val="en-GB"/>
        </w:rPr>
        <w:t>.</w:t>
      </w:r>
      <w:r w:rsidR="0066155C">
        <w:rPr>
          <w:rFonts w:ascii="Arial" w:hAnsi="Arial" w:cs="Arial"/>
          <w:lang w:val="en-GB"/>
        </w:rPr>
        <w:t xml:space="preserve">  The right of this group of successors over-rides the right of succession of other groups who may succeed to a tenancy.</w:t>
      </w:r>
    </w:p>
    <w:p w14:paraId="0FCE5510" w14:textId="77777777" w:rsidR="0066155C" w:rsidRDefault="0066155C" w:rsidP="00447355">
      <w:pPr>
        <w:spacing w:line="360" w:lineRule="auto"/>
        <w:ind w:left="360"/>
        <w:rPr>
          <w:rFonts w:ascii="Arial" w:hAnsi="Arial" w:cs="Arial"/>
          <w:lang w:val="en-GB"/>
        </w:rPr>
      </w:pPr>
      <w:r>
        <w:rPr>
          <w:rFonts w:ascii="Arial" w:hAnsi="Arial" w:cs="Arial"/>
          <w:lang w:val="en-GB"/>
        </w:rPr>
        <w:tab/>
      </w:r>
      <w:r>
        <w:rPr>
          <w:rFonts w:ascii="Arial" w:hAnsi="Arial" w:cs="Arial"/>
          <w:lang w:val="en-GB"/>
        </w:rPr>
        <w:tab/>
      </w:r>
    </w:p>
    <w:p w14:paraId="79A1F497" w14:textId="77777777" w:rsidR="0066155C" w:rsidRDefault="0066155C" w:rsidP="00D96D7F">
      <w:pPr>
        <w:spacing w:line="360" w:lineRule="auto"/>
        <w:ind w:left="2160"/>
        <w:rPr>
          <w:rFonts w:ascii="Arial" w:hAnsi="Arial" w:cs="Arial"/>
          <w:lang w:val="en-GB"/>
        </w:rPr>
      </w:pPr>
      <w:r>
        <w:rPr>
          <w:rFonts w:ascii="Arial" w:hAnsi="Arial" w:cs="Arial"/>
          <w:lang w:val="en-GB"/>
        </w:rPr>
        <w:t xml:space="preserve">This group may succeed to the tenancy of a property which is specially adapted for wheelchair use or for some other medical condition or disability </w:t>
      </w:r>
      <w:proofErr w:type="gramStart"/>
      <w:r w:rsidR="00D96D7F">
        <w:rPr>
          <w:rFonts w:ascii="Arial" w:hAnsi="Arial" w:cs="Arial"/>
          <w:lang w:val="en-GB"/>
        </w:rPr>
        <w:t>whether or not</w:t>
      </w:r>
      <w:proofErr w:type="gramEnd"/>
      <w:r w:rsidR="00D96D7F">
        <w:rPr>
          <w:rFonts w:ascii="Arial" w:hAnsi="Arial" w:cs="Arial"/>
          <w:lang w:val="en-GB"/>
        </w:rPr>
        <w:t xml:space="preserve"> they have a medical condition or disability which means they can make use of the facilities.  This means in practical terms that where the tenancy has been created </w:t>
      </w:r>
      <w:proofErr w:type="gramStart"/>
      <w:r w:rsidR="00D96D7F">
        <w:rPr>
          <w:rFonts w:ascii="Arial" w:hAnsi="Arial" w:cs="Arial"/>
          <w:lang w:val="en-GB"/>
        </w:rPr>
        <w:t>in order to</w:t>
      </w:r>
      <w:proofErr w:type="gramEnd"/>
      <w:r w:rsidR="00D96D7F">
        <w:rPr>
          <w:rFonts w:ascii="Arial" w:hAnsi="Arial" w:cs="Arial"/>
          <w:lang w:val="en-GB"/>
        </w:rPr>
        <w:t xml:space="preserve"> provide an adapted property for the deceased tenant</w:t>
      </w:r>
      <w:r w:rsidR="00A757F6">
        <w:rPr>
          <w:rFonts w:ascii="Arial" w:hAnsi="Arial" w:cs="Arial"/>
          <w:lang w:val="en-GB"/>
        </w:rPr>
        <w:t>,</w:t>
      </w:r>
      <w:r w:rsidR="00D96D7F">
        <w:rPr>
          <w:rFonts w:ascii="Arial" w:hAnsi="Arial" w:cs="Arial"/>
          <w:lang w:val="en-GB"/>
        </w:rPr>
        <w:t xml:space="preserve"> a spouse or partner who does not have particular needs for those facilities may succeed to the tenancy.  </w:t>
      </w:r>
    </w:p>
    <w:p w14:paraId="55314462" w14:textId="77777777" w:rsidR="00D96D7F" w:rsidRDefault="00D96D7F" w:rsidP="00447355">
      <w:pPr>
        <w:spacing w:line="360" w:lineRule="auto"/>
        <w:ind w:left="360"/>
        <w:rPr>
          <w:rFonts w:ascii="Arial" w:hAnsi="Arial" w:cs="Arial"/>
          <w:lang w:val="en-GB"/>
        </w:rPr>
      </w:pPr>
      <w:r>
        <w:rPr>
          <w:rFonts w:ascii="Arial" w:hAnsi="Arial" w:cs="Arial"/>
          <w:lang w:val="en-GB"/>
        </w:rPr>
        <w:tab/>
      </w:r>
    </w:p>
    <w:p w14:paraId="5E19436F" w14:textId="77777777" w:rsidR="00A52F0D" w:rsidRDefault="009B5390" w:rsidP="00A22A13">
      <w:pPr>
        <w:spacing w:line="360" w:lineRule="auto"/>
        <w:ind w:left="2160" w:hanging="1440"/>
        <w:rPr>
          <w:rFonts w:ascii="Arial" w:hAnsi="Arial" w:cs="Arial"/>
          <w:lang w:val="en-GB"/>
        </w:rPr>
      </w:pPr>
      <w:r>
        <w:rPr>
          <w:rFonts w:ascii="Arial" w:hAnsi="Arial" w:cs="Arial"/>
          <w:b/>
          <w:u w:val="single"/>
          <w:lang w:val="en-GB"/>
        </w:rPr>
        <w:t>Level</w:t>
      </w:r>
      <w:r w:rsidR="00D96D7F" w:rsidRPr="00893427">
        <w:rPr>
          <w:rFonts w:ascii="Arial" w:hAnsi="Arial" w:cs="Arial"/>
          <w:b/>
          <w:u w:val="single"/>
          <w:lang w:val="en-GB"/>
        </w:rPr>
        <w:t xml:space="preserve"> 2</w:t>
      </w:r>
      <w:r w:rsidR="00D96D7F">
        <w:rPr>
          <w:rFonts w:ascii="Arial" w:hAnsi="Arial" w:cs="Arial"/>
          <w:lang w:val="en-GB"/>
        </w:rPr>
        <w:tab/>
        <w:t xml:space="preserve">Should no one qualify or choose to succeed from the </w:t>
      </w:r>
      <w:proofErr w:type="gramStart"/>
      <w:r w:rsidR="00D96D7F">
        <w:rPr>
          <w:rFonts w:ascii="Arial" w:hAnsi="Arial" w:cs="Arial"/>
          <w:lang w:val="en-GB"/>
        </w:rPr>
        <w:t>first priority</w:t>
      </w:r>
      <w:proofErr w:type="gramEnd"/>
      <w:r w:rsidR="00D96D7F">
        <w:rPr>
          <w:rFonts w:ascii="Arial" w:hAnsi="Arial" w:cs="Arial"/>
          <w:lang w:val="en-GB"/>
        </w:rPr>
        <w:t xml:space="preserve"> group then the next level of priority would be other members of the </w:t>
      </w:r>
      <w:r w:rsidR="00321F72">
        <w:rPr>
          <w:rFonts w:ascii="Arial" w:hAnsi="Arial" w:cs="Arial"/>
          <w:lang w:val="en-GB"/>
        </w:rPr>
        <w:t>deceased tenant’s family if aged 16 years or over who can demonstrate that the house was their only or principal home at the tenant’s death.  This group may not succeed to a property which has been adapted for the deceased unless they can demonstrate that they have medical conditions or dis</w:t>
      </w:r>
      <w:r w:rsidR="00D93A60">
        <w:rPr>
          <w:rFonts w:ascii="Arial" w:hAnsi="Arial" w:cs="Arial"/>
          <w:lang w:val="en-GB"/>
        </w:rPr>
        <w:t xml:space="preserve">abilities which mean they are </w:t>
      </w:r>
      <w:r w:rsidR="00321F72">
        <w:rPr>
          <w:rFonts w:ascii="Arial" w:hAnsi="Arial" w:cs="Arial"/>
          <w:lang w:val="en-GB"/>
        </w:rPr>
        <w:t>able to use the adaptations and facilities of the property.  If no special adaptations are present and the property is a mainstream house, then they may succeed to the tenancy.</w:t>
      </w:r>
    </w:p>
    <w:p w14:paraId="0A3CDF61" w14:textId="77777777" w:rsidR="00A52F0D" w:rsidRDefault="00A52F0D" w:rsidP="00A52F0D">
      <w:pPr>
        <w:spacing w:line="360" w:lineRule="auto"/>
        <w:ind w:left="2160" w:hanging="1800"/>
        <w:rPr>
          <w:rFonts w:ascii="Arial" w:hAnsi="Arial" w:cs="Arial"/>
          <w:lang w:val="en-GB"/>
        </w:rPr>
      </w:pPr>
    </w:p>
    <w:p w14:paraId="5C524ED9" w14:textId="77777777" w:rsidR="00A22A13" w:rsidRDefault="009B5390" w:rsidP="00A22A13">
      <w:pPr>
        <w:spacing w:line="360" w:lineRule="auto"/>
        <w:ind w:left="2160" w:hanging="1440"/>
        <w:rPr>
          <w:rFonts w:ascii="Arial" w:hAnsi="Arial" w:cs="Arial"/>
          <w:lang w:val="en-GB"/>
        </w:rPr>
      </w:pPr>
      <w:r>
        <w:rPr>
          <w:rFonts w:ascii="Arial" w:hAnsi="Arial" w:cs="Arial"/>
          <w:b/>
          <w:u w:val="single"/>
          <w:lang w:val="en-GB"/>
        </w:rPr>
        <w:t xml:space="preserve">Level </w:t>
      </w:r>
      <w:r w:rsidR="00A52F0D" w:rsidRPr="00893427">
        <w:rPr>
          <w:rFonts w:ascii="Arial" w:hAnsi="Arial" w:cs="Arial"/>
          <w:b/>
          <w:u w:val="single"/>
          <w:lang w:val="en-GB"/>
        </w:rPr>
        <w:t>3</w:t>
      </w:r>
      <w:r w:rsidR="00A52F0D">
        <w:rPr>
          <w:rFonts w:ascii="Arial" w:hAnsi="Arial" w:cs="Arial"/>
          <w:lang w:val="en-GB"/>
        </w:rPr>
        <w:tab/>
        <w:t xml:space="preserve">Should no one qualify or choose to succeed from the first two priority groups then carers aged at least 16 years will qualify where the house was their only principal home at the time of the tenant’s death and where they have given up their previous only principal home to care for the tenant </w:t>
      </w:r>
      <w:r w:rsidR="00440314">
        <w:rPr>
          <w:rFonts w:ascii="Arial" w:hAnsi="Arial" w:cs="Arial"/>
          <w:lang w:val="en-GB"/>
        </w:rPr>
        <w:t xml:space="preserve">or a </w:t>
      </w:r>
      <w:r w:rsidR="00440314">
        <w:rPr>
          <w:rFonts w:ascii="Arial" w:hAnsi="Arial" w:cs="Arial"/>
          <w:lang w:val="en-GB"/>
        </w:rPr>
        <w:lastRenderedPageBreak/>
        <w:t xml:space="preserve">member of the tenant’s family.  The restrictions upon succession to adapted properties with special facilities are </w:t>
      </w:r>
      <w:proofErr w:type="gramStart"/>
      <w:r w:rsidR="00440314">
        <w:rPr>
          <w:rFonts w:ascii="Arial" w:hAnsi="Arial" w:cs="Arial"/>
          <w:lang w:val="en-GB"/>
        </w:rPr>
        <w:t>exactly the same</w:t>
      </w:r>
      <w:proofErr w:type="gramEnd"/>
      <w:r w:rsidR="00440314">
        <w:rPr>
          <w:rFonts w:ascii="Arial" w:hAnsi="Arial" w:cs="Arial"/>
          <w:lang w:val="en-GB"/>
        </w:rPr>
        <w:t xml:space="preserve"> as priority group 2 in as much as the carer would be required to demonstrate that they had medical conditions and disabilities which meant that they could utilise the special facilities provided in the property.</w:t>
      </w:r>
    </w:p>
    <w:p w14:paraId="5CA7C707" w14:textId="77777777" w:rsidR="00A22A13" w:rsidRDefault="00A22A13" w:rsidP="00A22A13">
      <w:pPr>
        <w:spacing w:line="360" w:lineRule="auto"/>
        <w:rPr>
          <w:rFonts w:ascii="Arial" w:hAnsi="Arial" w:cs="Arial"/>
          <w:lang w:val="en-GB"/>
        </w:rPr>
      </w:pPr>
    </w:p>
    <w:p w14:paraId="2B8B3C79" w14:textId="77777777" w:rsidR="00440314" w:rsidRDefault="007746C1" w:rsidP="00A22A13">
      <w:pPr>
        <w:spacing w:line="360" w:lineRule="auto"/>
        <w:rPr>
          <w:rFonts w:ascii="Arial" w:hAnsi="Arial" w:cs="Arial"/>
          <w:b/>
          <w:lang w:val="en-GB"/>
        </w:rPr>
      </w:pPr>
      <w:r>
        <w:rPr>
          <w:rFonts w:ascii="Arial" w:hAnsi="Arial" w:cs="Arial"/>
          <w:lang w:val="en-GB"/>
        </w:rPr>
        <w:t>5</w:t>
      </w:r>
      <w:r w:rsidR="00A22A13" w:rsidRPr="00893427">
        <w:rPr>
          <w:rFonts w:ascii="Arial" w:hAnsi="Arial" w:cs="Arial"/>
          <w:b/>
          <w:lang w:val="en-GB"/>
        </w:rPr>
        <w:t>.</w:t>
      </w:r>
      <w:r w:rsidR="00A22A13" w:rsidRPr="00893427">
        <w:rPr>
          <w:rFonts w:ascii="Arial" w:hAnsi="Arial" w:cs="Arial"/>
          <w:b/>
          <w:lang w:val="en-GB"/>
        </w:rPr>
        <w:tab/>
      </w:r>
      <w:r w:rsidR="00440314" w:rsidRPr="00A757F6">
        <w:rPr>
          <w:rFonts w:ascii="Arial" w:hAnsi="Arial" w:cs="Arial"/>
          <w:b/>
          <w:u w:val="single"/>
          <w:lang w:val="en-GB"/>
        </w:rPr>
        <w:t>Succe</w:t>
      </w:r>
      <w:r w:rsidR="008345FB">
        <w:rPr>
          <w:rFonts w:ascii="Arial" w:hAnsi="Arial" w:cs="Arial"/>
          <w:b/>
          <w:u w:val="single"/>
          <w:lang w:val="en-GB"/>
        </w:rPr>
        <w:t xml:space="preserve">eding </w:t>
      </w:r>
      <w:proofErr w:type="gramStart"/>
      <w:r w:rsidR="008345FB">
        <w:rPr>
          <w:rFonts w:ascii="Arial" w:hAnsi="Arial" w:cs="Arial"/>
          <w:b/>
          <w:u w:val="single"/>
          <w:lang w:val="en-GB"/>
        </w:rPr>
        <w:t xml:space="preserve">to </w:t>
      </w:r>
      <w:r w:rsidR="00440314" w:rsidRPr="00A757F6">
        <w:rPr>
          <w:rFonts w:ascii="Arial" w:hAnsi="Arial" w:cs="Arial"/>
          <w:b/>
          <w:u w:val="single"/>
          <w:lang w:val="en-GB"/>
        </w:rPr>
        <w:t xml:space="preserve"> Tenancy</w:t>
      </w:r>
      <w:proofErr w:type="gramEnd"/>
      <w:r w:rsidR="00440314" w:rsidRPr="00893427">
        <w:rPr>
          <w:rFonts w:ascii="Arial" w:hAnsi="Arial" w:cs="Arial"/>
          <w:b/>
          <w:lang w:val="en-GB"/>
        </w:rPr>
        <w:t xml:space="preserve"> </w:t>
      </w:r>
    </w:p>
    <w:p w14:paraId="179BBB23" w14:textId="77777777" w:rsidR="00417FBB" w:rsidRDefault="00417FBB" w:rsidP="00A22A13">
      <w:pPr>
        <w:spacing w:line="360" w:lineRule="auto"/>
        <w:rPr>
          <w:rFonts w:ascii="Arial" w:hAnsi="Arial" w:cs="Arial"/>
        </w:rPr>
      </w:pPr>
    </w:p>
    <w:p w14:paraId="4C66E4A3" w14:textId="77777777" w:rsidR="00374BB5" w:rsidRPr="00374BB5" w:rsidRDefault="008345FB" w:rsidP="00374BB5">
      <w:pPr>
        <w:rPr>
          <w:rFonts w:ascii="Arial" w:hAnsi="Arial" w:cs="Arial"/>
          <w:b/>
        </w:rPr>
      </w:pPr>
      <w:r w:rsidRPr="008345FB">
        <w:rPr>
          <w:rFonts w:ascii="Arial" w:hAnsi="Arial" w:cs="Arial"/>
        </w:rPr>
        <w:t>5.1</w:t>
      </w:r>
      <w:r>
        <w:rPr>
          <w:rFonts w:ascii="Arial" w:hAnsi="Arial" w:cs="Arial"/>
          <w:b/>
        </w:rPr>
        <w:tab/>
      </w:r>
      <w:r w:rsidR="00374BB5" w:rsidRPr="008345FB">
        <w:rPr>
          <w:rFonts w:ascii="Arial" w:hAnsi="Arial" w:cs="Arial"/>
          <w:i/>
        </w:rPr>
        <w:t>Unmarried Partners</w:t>
      </w:r>
    </w:p>
    <w:p w14:paraId="225E2087" w14:textId="77777777" w:rsidR="00374BB5" w:rsidRDefault="00374BB5" w:rsidP="00374BB5">
      <w:pPr>
        <w:rPr>
          <w:rFonts w:ascii="Arial" w:hAnsi="Arial" w:cs="Arial"/>
        </w:rPr>
      </w:pPr>
    </w:p>
    <w:p w14:paraId="10129052" w14:textId="77777777" w:rsidR="00374BB5" w:rsidRDefault="00374BB5" w:rsidP="00374BB5">
      <w:pPr>
        <w:rPr>
          <w:rFonts w:ascii="Arial" w:hAnsi="Arial" w:cs="Arial"/>
        </w:rPr>
      </w:pPr>
      <w:r w:rsidRPr="00374BB5">
        <w:rPr>
          <w:rFonts w:ascii="Arial" w:hAnsi="Arial" w:cs="Arial"/>
        </w:rPr>
        <w:t>Section 13(a) and 13(d) of the 2014 Act make changes to the rules on succession for unmarried partners:</w:t>
      </w:r>
    </w:p>
    <w:p w14:paraId="333752E3" w14:textId="77777777" w:rsidR="00374BB5" w:rsidRPr="00374BB5" w:rsidRDefault="00374BB5" w:rsidP="00374BB5"/>
    <w:p w14:paraId="6C7391AC" w14:textId="77777777" w:rsidR="00374BB5" w:rsidRPr="00374BB5" w:rsidRDefault="00374BB5" w:rsidP="00374BB5">
      <w:pPr>
        <w:pStyle w:val="ListParagraph"/>
        <w:numPr>
          <w:ilvl w:val="0"/>
          <w:numId w:val="19"/>
        </w:numPr>
        <w:spacing w:line="360" w:lineRule="auto"/>
        <w:rPr>
          <w:rFonts w:ascii="Arial" w:hAnsi="Arial" w:cs="Arial"/>
        </w:rPr>
      </w:pPr>
      <w:r w:rsidRPr="00374BB5">
        <w:rPr>
          <w:rFonts w:ascii="Arial" w:hAnsi="Arial" w:cs="Arial"/>
        </w:rPr>
        <w:t>The house must have been the unmarried partner’s only or principal home for 12 months before they qualify to succeed to the tenancy (previously this was 6 months); and</w:t>
      </w:r>
    </w:p>
    <w:p w14:paraId="28A87111" w14:textId="77777777" w:rsidR="00374BB5" w:rsidRPr="00374BB5" w:rsidRDefault="00374BB5" w:rsidP="00374BB5">
      <w:pPr>
        <w:pStyle w:val="ListParagraph"/>
        <w:numPr>
          <w:ilvl w:val="0"/>
          <w:numId w:val="19"/>
        </w:numPr>
        <w:spacing w:line="360" w:lineRule="auto"/>
        <w:rPr>
          <w:rFonts w:ascii="Arial" w:hAnsi="Arial" w:cs="Arial"/>
        </w:rPr>
      </w:pPr>
      <w:r w:rsidRPr="00374BB5">
        <w:rPr>
          <w:rFonts w:ascii="Arial" w:hAnsi="Arial" w:cs="Arial"/>
        </w:rPr>
        <w:t xml:space="preserve">The </w:t>
      </w:r>
      <w:proofErr w:type="gramStart"/>
      <w:r w:rsidRPr="00374BB5">
        <w:rPr>
          <w:rFonts w:ascii="Arial" w:hAnsi="Arial" w:cs="Arial"/>
        </w:rPr>
        <w:t>12 month</w:t>
      </w:r>
      <w:proofErr w:type="gramEnd"/>
      <w:r w:rsidRPr="00374BB5">
        <w:rPr>
          <w:rFonts w:ascii="Arial" w:hAnsi="Arial" w:cs="Arial"/>
        </w:rPr>
        <w:t xml:space="preserve"> period cannot begin unless </w:t>
      </w:r>
      <w:r w:rsidR="008345FB">
        <w:rPr>
          <w:rFonts w:ascii="Arial" w:hAnsi="Arial" w:cs="Arial"/>
        </w:rPr>
        <w:t>the Association</w:t>
      </w:r>
      <w:r w:rsidRPr="00374BB5">
        <w:rPr>
          <w:rFonts w:ascii="Arial" w:hAnsi="Arial" w:cs="Arial"/>
        </w:rPr>
        <w:t xml:space="preserve"> has been told that the individual is living </w:t>
      </w:r>
      <w:proofErr w:type="gramStart"/>
      <w:r w:rsidRPr="00374BB5">
        <w:rPr>
          <w:rFonts w:ascii="Arial" w:hAnsi="Arial" w:cs="Arial"/>
        </w:rPr>
        <w:t>in</w:t>
      </w:r>
      <w:proofErr w:type="gramEnd"/>
      <w:r w:rsidRPr="00374BB5">
        <w:rPr>
          <w:rFonts w:ascii="Arial" w:hAnsi="Arial" w:cs="Arial"/>
        </w:rPr>
        <w:t xml:space="preserve"> the property as their only or principal home. </w:t>
      </w:r>
      <w:r w:rsidR="008345FB">
        <w:rPr>
          <w:rFonts w:ascii="Arial" w:hAnsi="Arial" w:cs="Arial"/>
        </w:rPr>
        <w:t xml:space="preserve">The Association </w:t>
      </w:r>
      <w:r w:rsidRPr="00374BB5">
        <w:rPr>
          <w:rFonts w:ascii="Arial" w:hAnsi="Arial" w:cs="Arial"/>
        </w:rPr>
        <w:t>must have been told that by the tenant, a joint tenant, or the person who wishes to succeed to the tenancy.</w:t>
      </w:r>
    </w:p>
    <w:p w14:paraId="61065D22" w14:textId="77777777" w:rsidR="00374BB5" w:rsidRDefault="00374BB5" w:rsidP="00A22A13">
      <w:pPr>
        <w:spacing w:line="360" w:lineRule="auto"/>
        <w:rPr>
          <w:rFonts w:ascii="Arial" w:hAnsi="Arial" w:cs="Arial"/>
        </w:rPr>
      </w:pPr>
    </w:p>
    <w:p w14:paraId="4C2FD7E3" w14:textId="77777777" w:rsidR="00417FBB" w:rsidRPr="008345FB" w:rsidRDefault="008345FB" w:rsidP="00417FBB">
      <w:pPr>
        <w:spacing w:line="360" w:lineRule="auto"/>
        <w:rPr>
          <w:rFonts w:ascii="Arial" w:hAnsi="Arial" w:cs="Arial"/>
          <w:i/>
        </w:rPr>
      </w:pPr>
      <w:r w:rsidRPr="008345FB">
        <w:rPr>
          <w:rFonts w:ascii="Arial" w:hAnsi="Arial" w:cs="Arial"/>
        </w:rPr>
        <w:t>5.2</w:t>
      </w:r>
      <w:r w:rsidRPr="008345FB">
        <w:rPr>
          <w:rFonts w:ascii="Arial" w:hAnsi="Arial" w:cs="Arial"/>
        </w:rPr>
        <w:tab/>
      </w:r>
      <w:r w:rsidR="00B40DB6" w:rsidRPr="008345FB">
        <w:rPr>
          <w:rFonts w:ascii="Arial" w:hAnsi="Arial" w:cs="Arial"/>
          <w:i/>
        </w:rPr>
        <w:t xml:space="preserve">Family Members </w:t>
      </w:r>
    </w:p>
    <w:p w14:paraId="627A06F0" w14:textId="77777777" w:rsidR="00417FBB" w:rsidRDefault="00417FBB" w:rsidP="00417FBB">
      <w:pPr>
        <w:spacing w:line="360" w:lineRule="auto"/>
        <w:rPr>
          <w:rFonts w:ascii="Arial" w:hAnsi="Arial" w:cs="Arial"/>
        </w:rPr>
      </w:pPr>
    </w:p>
    <w:p w14:paraId="7E691F78" w14:textId="77777777" w:rsidR="00417FBB" w:rsidRDefault="00B40DB6" w:rsidP="00417FBB">
      <w:pPr>
        <w:spacing w:line="360" w:lineRule="auto"/>
        <w:rPr>
          <w:rFonts w:ascii="Arial" w:hAnsi="Arial" w:cs="Arial"/>
        </w:rPr>
      </w:pPr>
      <w:r w:rsidRPr="00B40DB6">
        <w:rPr>
          <w:rFonts w:ascii="Arial" w:hAnsi="Arial" w:cs="Arial"/>
        </w:rPr>
        <w:t>Section 13(b) and 13(d) of the</w:t>
      </w:r>
      <w:r w:rsidR="00417FBB">
        <w:rPr>
          <w:rFonts w:ascii="Arial" w:hAnsi="Arial" w:cs="Arial"/>
        </w:rPr>
        <w:t xml:space="preserve"> HSA</w:t>
      </w:r>
      <w:r w:rsidRPr="00B40DB6">
        <w:rPr>
          <w:rFonts w:ascii="Arial" w:hAnsi="Arial" w:cs="Arial"/>
        </w:rPr>
        <w:t xml:space="preserve"> 2014 make changes to the rules on succession for family members:</w:t>
      </w:r>
    </w:p>
    <w:p w14:paraId="21E92938" w14:textId="77777777" w:rsidR="00417FBB" w:rsidRDefault="00417FBB" w:rsidP="00417FBB">
      <w:pPr>
        <w:spacing w:line="360" w:lineRule="auto"/>
        <w:rPr>
          <w:rFonts w:ascii="Arial" w:hAnsi="Arial" w:cs="Arial"/>
        </w:rPr>
      </w:pPr>
    </w:p>
    <w:p w14:paraId="08DF0F1B" w14:textId="77777777" w:rsidR="00417FBB" w:rsidRPr="00417FBB" w:rsidRDefault="00417FBB" w:rsidP="00417FBB">
      <w:pPr>
        <w:pStyle w:val="ListParagraph"/>
        <w:numPr>
          <w:ilvl w:val="0"/>
          <w:numId w:val="17"/>
        </w:numPr>
        <w:spacing w:line="360" w:lineRule="auto"/>
        <w:rPr>
          <w:rFonts w:ascii="Arial" w:hAnsi="Arial" w:cs="Arial"/>
        </w:rPr>
      </w:pPr>
      <w:r w:rsidRPr="00417FBB">
        <w:rPr>
          <w:rFonts w:ascii="Arial" w:hAnsi="Arial" w:cs="Arial"/>
        </w:rPr>
        <w:t>T</w:t>
      </w:r>
      <w:r w:rsidR="00B40DB6" w:rsidRPr="00417FBB">
        <w:rPr>
          <w:rFonts w:ascii="Arial" w:hAnsi="Arial" w:cs="Arial"/>
        </w:rPr>
        <w:t>he house must have been the family member’s only or principal home for 12 months before they qualify to succeed to the tenancy (previously there was no qualifying period, the person simply had to be living there at the time of the tenant’s death); and</w:t>
      </w:r>
    </w:p>
    <w:p w14:paraId="70533667" w14:textId="77777777" w:rsidR="00B40DB6" w:rsidRPr="00374BB5" w:rsidRDefault="00374BB5" w:rsidP="00417FBB">
      <w:pPr>
        <w:pStyle w:val="ListParagraph"/>
        <w:numPr>
          <w:ilvl w:val="0"/>
          <w:numId w:val="17"/>
        </w:numPr>
        <w:spacing w:line="360" w:lineRule="auto"/>
        <w:rPr>
          <w:rFonts w:ascii="Arial" w:hAnsi="Arial" w:cs="Arial"/>
          <w:b/>
          <w:lang w:val="en-GB"/>
        </w:rPr>
      </w:pPr>
      <w:r>
        <w:rPr>
          <w:rFonts w:ascii="Arial" w:hAnsi="Arial" w:cs="Arial"/>
        </w:rPr>
        <w:t>T</w:t>
      </w:r>
      <w:r w:rsidR="00B40DB6" w:rsidRPr="00417FBB">
        <w:rPr>
          <w:rFonts w:ascii="Arial" w:hAnsi="Arial" w:cs="Arial"/>
        </w:rPr>
        <w:t xml:space="preserve">he </w:t>
      </w:r>
      <w:proofErr w:type="gramStart"/>
      <w:r w:rsidR="00B40DB6" w:rsidRPr="00417FBB">
        <w:rPr>
          <w:rFonts w:ascii="Arial" w:hAnsi="Arial" w:cs="Arial"/>
        </w:rPr>
        <w:t>12 month</w:t>
      </w:r>
      <w:proofErr w:type="gramEnd"/>
      <w:r w:rsidR="00B40DB6" w:rsidRPr="00417FBB">
        <w:rPr>
          <w:rFonts w:ascii="Arial" w:hAnsi="Arial" w:cs="Arial"/>
        </w:rPr>
        <w:t xml:space="preserve"> period cannot begin unless </w:t>
      </w:r>
      <w:r w:rsidR="008345FB">
        <w:rPr>
          <w:rFonts w:ascii="Arial" w:hAnsi="Arial" w:cs="Arial"/>
        </w:rPr>
        <w:t>the Association</w:t>
      </w:r>
      <w:r w:rsidR="00B40DB6" w:rsidRPr="00417FBB">
        <w:rPr>
          <w:rFonts w:ascii="Arial" w:hAnsi="Arial" w:cs="Arial"/>
        </w:rPr>
        <w:t xml:space="preserve"> has been told that the family member is living </w:t>
      </w:r>
      <w:proofErr w:type="gramStart"/>
      <w:r w:rsidR="00B40DB6" w:rsidRPr="00417FBB">
        <w:rPr>
          <w:rFonts w:ascii="Arial" w:hAnsi="Arial" w:cs="Arial"/>
        </w:rPr>
        <w:t>in</w:t>
      </w:r>
      <w:proofErr w:type="gramEnd"/>
      <w:r w:rsidR="00B40DB6" w:rsidRPr="00417FBB">
        <w:rPr>
          <w:rFonts w:ascii="Arial" w:hAnsi="Arial" w:cs="Arial"/>
        </w:rPr>
        <w:t xml:space="preserve"> the property as their only or principal </w:t>
      </w:r>
      <w:r w:rsidR="008345FB">
        <w:rPr>
          <w:rFonts w:ascii="Arial" w:hAnsi="Arial" w:cs="Arial"/>
        </w:rPr>
        <w:t xml:space="preserve">home. The Association </w:t>
      </w:r>
      <w:r w:rsidR="00B40DB6" w:rsidRPr="00417FBB">
        <w:rPr>
          <w:rFonts w:ascii="Arial" w:hAnsi="Arial" w:cs="Arial"/>
        </w:rPr>
        <w:t xml:space="preserve">must have been told that by the tenant, a joint tenant, or the person who wishes to succeed to the </w:t>
      </w:r>
      <w:proofErr w:type="gramStart"/>
      <w:r w:rsidR="00B40DB6" w:rsidRPr="00417FBB">
        <w:rPr>
          <w:rFonts w:ascii="Arial" w:hAnsi="Arial" w:cs="Arial"/>
        </w:rPr>
        <w:t>tenancy</w:t>
      </w:r>
      <w:proofErr w:type="gramEnd"/>
    </w:p>
    <w:p w14:paraId="435B0514" w14:textId="77777777" w:rsidR="00374BB5" w:rsidRPr="00374BB5" w:rsidRDefault="00374BB5" w:rsidP="00374BB5">
      <w:pPr>
        <w:pStyle w:val="ListParagraph"/>
        <w:spacing w:line="360" w:lineRule="auto"/>
        <w:rPr>
          <w:rFonts w:ascii="Arial" w:hAnsi="Arial" w:cs="Arial"/>
          <w:b/>
          <w:lang w:val="en-GB"/>
        </w:rPr>
      </w:pPr>
    </w:p>
    <w:p w14:paraId="15DEAD41" w14:textId="77777777" w:rsidR="00374BB5" w:rsidRPr="008345FB" w:rsidRDefault="008345FB" w:rsidP="00374BB5">
      <w:pPr>
        <w:spacing w:line="360" w:lineRule="auto"/>
        <w:rPr>
          <w:rFonts w:ascii="Arial" w:hAnsi="Arial" w:cs="Arial"/>
          <w:i/>
        </w:rPr>
      </w:pPr>
      <w:r w:rsidRPr="008345FB">
        <w:rPr>
          <w:rFonts w:ascii="Arial" w:hAnsi="Arial" w:cs="Arial"/>
        </w:rPr>
        <w:lastRenderedPageBreak/>
        <w:t>5.3</w:t>
      </w:r>
      <w:r w:rsidRPr="008345FB">
        <w:rPr>
          <w:rFonts w:ascii="Arial" w:hAnsi="Arial" w:cs="Arial"/>
        </w:rPr>
        <w:tab/>
      </w:r>
      <w:r w:rsidR="00374BB5" w:rsidRPr="008345FB">
        <w:rPr>
          <w:rFonts w:ascii="Arial" w:hAnsi="Arial" w:cs="Arial"/>
          <w:i/>
        </w:rPr>
        <w:t>Carers</w:t>
      </w:r>
    </w:p>
    <w:p w14:paraId="1AA95A0D" w14:textId="77777777" w:rsidR="00374BB5" w:rsidRDefault="00374BB5" w:rsidP="00374BB5">
      <w:pPr>
        <w:spacing w:line="360" w:lineRule="auto"/>
        <w:rPr>
          <w:rFonts w:ascii="Arial" w:hAnsi="Arial" w:cs="Arial"/>
        </w:rPr>
      </w:pPr>
    </w:p>
    <w:p w14:paraId="6DF06A7A" w14:textId="77777777" w:rsidR="00374BB5" w:rsidRDefault="00374BB5" w:rsidP="00374BB5">
      <w:pPr>
        <w:spacing w:line="360" w:lineRule="auto"/>
        <w:rPr>
          <w:rFonts w:ascii="Arial" w:hAnsi="Arial" w:cs="Arial"/>
        </w:rPr>
      </w:pPr>
      <w:r w:rsidRPr="00374BB5">
        <w:rPr>
          <w:rFonts w:ascii="Arial" w:hAnsi="Arial" w:cs="Arial"/>
        </w:rPr>
        <w:t>Section</w:t>
      </w:r>
      <w:r>
        <w:rPr>
          <w:rFonts w:ascii="Arial" w:hAnsi="Arial" w:cs="Arial"/>
        </w:rPr>
        <w:t xml:space="preserve"> 1</w:t>
      </w:r>
      <w:r w:rsidRPr="00374BB5">
        <w:rPr>
          <w:rFonts w:ascii="Arial" w:hAnsi="Arial" w:cs="Arial"/>
        </w:rPr>
        <w:t>3(c) and 13(d) of the 2014 Act make changes to the rules on succession for carers:</w:t>
      </w:r>
    </w:p>
    <w:p w14:paraId="3B31CEA5" w14:textId="77777777" w:rsidR="00374BB5" w:rsidRDefault="00374BB5" w:rsidP="00374BB5">
      <w:pPr>
        <w:spacing w:line="360" w:lineRule="auto"/>
        <w:rPr>
          <w:rFonts w:ascii="Arial" w:hAnsi="Arial" w:cs="Arial"/>
        </w:rPr>
      </w:pPr>
    </w:p>
    <w:p w14:paraId="00D16165" w14:textId="77777777" w:rsidR="00374BB5" w:rsidRPr="00374BB5" w:rsidRDefault="00374BB5" w:rsidP="00374BB5">
      <w:pPr>
        <w:pStyle w:val="ListParagraph"/>
        <w:numPr>
          <w:ilvl w:val="0"/>
          <w:numId w:val="18"/>
        </w:numPr>
        <w:spacing w:line="360" w:lineRule="auto"/>
        <w:rPr>
          <w:rFonts w:ascii="Arial" w:hAnsi="Arial" w:cs="Arial"/>
        </w:rPr>
      </w:pPr>
      <w:r w:rsidRPr="00374BB5">
        <w:rPr>
          <w:rFonts w:ascii="Arial" w:hAnsi="Arial" w:cs="Arial"/>
        </w:rPr>
        <w:t xml:space="preserve">The house must have been the carer’s only or principal home for 12 months before they qualify to succeed to the tenancy (previously there was no qualifying period, the person simply had to be living there at the time of the tenant’s death and have given up a previous home to provide the care); and </w:t>
      </w:r>
    </w:p>
    <w:p w14:paraId="7B91FDCF" w14:textId="77777777" w:rsidR="00374BB5" w:rsidRPr="00374BB5" w:rsidRDefault="00374BB5" w:rsidP="00374BB5">
      <w:pPr>
        <w:pStyle w:val="ListParagraph"/>
        <w:numPr>
          <w:ilvl w:val="0"/>
          <w:numId w:val="18"/>
        </w:numPr>
        <w:spacing w:line="360" w:lineRule="auto"/>
        <w:rPr>
          <w:rFonts w:ascii="Arial" w:hAnsi="Arial" w:cs="Arial"/>
          <w:b/>
          <w:lang w:val="en-GB"/>
        </w:rPr>
      </w:pPr>
      <w:r w:rsidRPr="00374BB5">
        <w:rPr>
          <w:rFonts w:ascii="Arial" w:hAnsi="Arial" w:cs="Arial"/>
        </w:rPr>
        <w:t xml:space="preserve">The </w:t>
      </w:r>
      <w:proofErr w:type="gramStart"/>
      <w:r w:rsidRPr="00374BB5">
        <w:rPr>
          <w:rFonts w:ascii="Arial" w:hAnsi="Arial" w:cs="Arial"/>
        </w:rPr>
        <w:t>12 month</w:t>
      </w:r>
      <w:proofErr w:type="gramEnd"/>
      <w:r w:rsidRPr="00374BB5">
        <w:rPr>
          <w:rFonts w:ascii="Arial" w:hAnsi="Arial" w:cs="Arial"/>
        </w:rPr>
        <w:t xml:space="preserve"> period cannot begin unless</w:t>
      </w:r>
      <w:r w:rsidR="008345FB">
        <w:rPr>
          <w:rFonts w:ascii="Arial" w:hAnsi="Arial" w:cs="Arial"/>
        </w:rPr>
        <w:t xml:space="preserve"> the Association </w:t>
      </w:r>
      <w:r w:rsidRPr="00374BB5">
        <w:rPr>
          <w:rFonts w:ascii="Arial" w:hAnsi="Arial" w:cs="Arial"/>
        </w:rPr>
        <w:t xml:space="preserve">has been told that the carer is living </w:t>
      </w:r>
      <w:proofErr w:type="gramStart"/>
      <w:r w:rsidRPr="00374BB5">
        <w:rPr>
          <w:rFonts w:ascii="Arial" w:hAnsi="Arial" w:cs="Arial"/>
        </w:rPr>
        <w:t>in</w:t>
      </w:r>
      <w:proofErr w:type="gramEnd"/>
      <w:r w:rsidRPr="00374BB5">
        <w:rPr>
          <w:rFonts w:ascii="Arial" w:hAnsi="Arial" w:cs="Arial"/>
        </w:rPr>
        <w:t xml:space="preserve"> the property as their only or principal home. </w:t>
      </w:r>
      <w:r w:rsidR="008345FB">
        <w:rPr>
          <w:rFonts w:ascii="Arial" w:hAnsi="Arial" w:cs="Arial"/>
        </w:rPr>
        <w:t xml:space="preserve">The Association </w:t>
      </w:r>
      <w:r w:rsidRPr="00374BB5">
        <w:rPr>
          <w:rFonts w:ascii="Arial" w:hAnsi="Arial" w:cs="Arial"/>
        </w:rPr>
        <w:t xml:space="preserve">must have been told that by the tenant, a joint tenant, or the </w:t>
      </w:r>
      <w:proofErr w:type="gramStart"/>
      <w:r w:rsidRPr="00374BB5">
        <w:rPr>
          <w:rFonts w:ascii="Arial" w:hAnsi="Arial" w:cs="Arial"/>
        </w:rPr>
        <w:t>care</w:t>
      </w:r>
      <w:proofErr w:type="gramEnd"/>
    </w:p>
    <w:p w14:paraId="2AC2EF27" w14:textId="77777777" w:rsidR="007746C1" w:rsidRDefault="007746C1" w:rsidP="007746C1">
      <w:pPr>
        <w:spacing w:line="360" w:lineRule="auto"/>
        <w:rPr>
          <w:rFonts w:ascii="Arial" w:hAnsi="Arial" w:cs="Arial"/>
          <w:lang w:val="en-GB"/>
        </w:rPr>
      </w:pPr>
    </w:p>
    <w:p w14:paraId="135D816A" w14:textId="77777777" w:rsidR="00A22A13" w:rsidRDefault="006D5D9F" w:rsidP="007746C1">
      <w:pPr>
        <w:spacing w:line="360" w:lineRule="auto"/>
        <w:rPr>
          <w:rFonts w:ascii="Arial" w:hAnsi="Arial" w:cs="Arial"/>
          <w:lang w:val="en-GB"/>
        </w:rPr>
      </w:pPr>
      <w:r>
        <w:rPr>
          <w:rFonts w:ascii="Arial" w:hAnsi="Arial" w:cs="Arial"/>
          <w:lang w:val="en-GB"/>
        </w:rPr>
        <w:t>5.</w:t>
      </w:r>
      <w:r w:rsidR="008345FB">
        <w:rPr>
          <w:rFonts w:ascii="Arial" w:hAnsi="Arial" w:cs="Arial"/>
          <w:lang w:val="en-GB"/>
        </w:rPr>
        <w:t>4</w:t>
      </w:r>
      <w:r w:rsidR="00A22A13">
        <w:rPr>
          <w:rFonts w:ascii="Arial" w:hAnsi="Arial" w:cs="Arial"/>
          <w:lang w:val="en-GB"/>
        </w:rPr>
        <w:t xml:space="preserve"> </w:t>
      </w:r>
      <w:r w:rsidR="00A22A13">
        <w:rPr>
          <w:rFonts w:ascii="Arial" w:hAnsi="Arial" w:cs="Arial"/>
          <w:lang w:val="en-GB"/>
        </w:rPr>
        <w:tab/>
      </w:r>
      <w:r w:rsidR="00440314">
        <w:rPr>
          <w:rFonts w:ascii="Arial" w:hAnsi="Arial" w:cs="Arial"/>
          <w:lang w:val="en-GB"/>
        </w:rPr>
        <w:t xml:space="preserve">Where there is more than one qualifying person in the Priority </w:t>
      </w:r>
      <w:r w:rsidR="00A22A13">
        <w:rPr>
          <w:rFonts w:ascii="Arial" w:hAnsi="Arial" w:cs="Arial"/>
          <w:lang w:val="en-GB"/>
        </w:rPr>
        <w:t>2</w:t>
      </w:r>
    </w:p>
    <w:p w14:paraId="053A759C" w14:textId="77777777" w:rsidR="00440314" w:rsidRDefault="00A757F6" w:rsidP="00A22A13">
      <w:pPr>
        <w:spacing w:line="360" w:lineRule="auto"/>
        <w:ind w:left="720"/>
        <w:rPr>
          <w:rFonts w:ascii="Arial" w:hAnsi="Arial" w:cs="Arial"/>
          <w:lang w:val="en-GB"/>
        </w:rPr>
      </w:pPr>
      <w:r>
        <w:rPr>
          <w:rFonts w:ascii="Arial" w:hAnsi="Arial" w:cs="Arial"/>
          <w:lang w:val="en-GB"/>
        </w:rPr>
        <w:t>G</w:t>
      </w:r>
      <w:r w:rsidR="00440314">
        <w:rPr>
          <w:rFonts w:ascii="Arial" w:hAnsi="Arial" w:cs="Arial"/>
          <w:lang w:val="en-GB"/>
        </w:rPr>
        <w:t>roup</w:t>
      </w:r>
      <w:r>
        <w:rPr>
          <w:rFonts w:ascii="Arial" w:hAnsi="Arial" w:cs="Arial"/>
          <w:lang w:val="en-GB"/>
        </w:rPr>
        <w:t>,</w:t>
      </w:r>
      <w:r w:rsidR="00440314">
        <w:rPr>
          <w:rFonts w:ascii="Arial" w:hAnsi="Arial" w:cs="Arial"/>
          <w:lang w:val="en-GB"/>
        </w:rPr>
        <w:t xml:space="preserve"> they should decide among themselves who will succeed.  If this cannot be agreed</w:t>
      </w:r>
      <w:r>
        <w:rPr>
          <w:rFonts w:ascii="Arial" w:hAnsi="Arial" w:cs="Arial"/>
          <w:lang w:val="en-GB"/>
        </w:rPr>
        <w:t>,</w:t>
      </w:r>
      <w:r w:rsidR="00440314">
        <w:rPr>
          <w:rFonts w:ascii="Arial" w:hAnsi="Arial" w:cs="Arial"/>
          <w:lang w:val="en-GB"/>
        </w:rPr>
        <w:t xml:space="preserve"> </w:t>
      </w:r>
      <w:r w:rsidR="008345FB">
        <w:rPr>
          <w:rFonts w:ascii="Arial" w:hAnsi="Arial" w:cs="Arial"/>
          <w:lang w:val="en-GB"/>
        </w:rPr>
        <w:t xml:space="preserve">the </w:t>
      </w:r>
      <w:r w:rsidR="00440314" w:rsidRPr="00440314">
        <w:rPr>
          <w:rFonts w:ascii="Arial" w:hAnsi="Arial" w:cs="Arial"/>
          <w:lang w:val="en-GB"/>
        </w:rPr>
        <w:t>Association</w:t>
      </w:r>
      <w:r w:rsidR="00440314">
        <w:rPr>
          <w:rFonts w:ascii="Arial" w:hAnsi="Arial" w:cs="Arial"/>
          <w:lang w:val="en-GB"/>
        </w:rPr>
        <w:t xml:space="preserve"> may consider a joint tenancy.  If this is not appropriate or if the parties do not agree to this, then</w:t>
      </w:r>
      <w:r w:rsidR="008345FB">
        <w:rPr>
          <w:rFonts w:ascii="Arial" w:hAnsi="Arial" w:cs="Arial"/>
          <w:lang w:val="en-GB"/>
        </w:rPr>
        <w:t xml:space="preserve"> the Association </w:t>
      </w:r>
      <w:r w:rsidR="00440314">
        <w:rPr>
          <w:rFonts w:ascii="Arial" w:hAnsi="Arial" w:cs="Arial"/>
          <w:lang w:val="en-GB"/>
        </w:rPr>
        <w:t xml:space="preserve">will decide who will succeed. </w:t>
      </w:r>
    </w:p>
    <w:p w14:paraId="2EBE9AB2" w14:textId="77777777" w:rsidR="006D5D9F" w:rsidRDefault="006D5D9F" w:rsidP="006D5D9F">
      <w:pPr>
        <w:spacing w:line="360" w:lineRule="auto"/>
        <w:rPr>
          <w:rFonts w:ascii="Arial" w:hAnsi="Arial" w:cs="Arial"/>
          <w:lang w:val="en-GB"/>
        </w:rPr>
      </w:pPr>
    </w:p>
    <w:p w14:paraId="61415AE8" w14:textId="77777777" w:rsidR="00460B8F" w:rsidRDefault="006D5D9F" w:rsidP="006D5D9F">
      <w:pPr>
        <w:spacing w:line="360" w:lineRule="auto"/>
        <w:rPr>
          <w:rFonts w:ascii="Arial" w:hAnsi="Arial" w:cs="Arial"/>
          <w:lang w:val="en-GB"/>
        </w:rPr>
      </w:pPr>
      <w:r>
        <w:rPr>
          <w:rFonts w:ascii="Arial" w:hAnsi="Arial" w:cs="Arial"/>
          <w:lang w:val="en-GB"/>
        </w:rPr>
        <w:t>5.</w:t>
      </w:r>
      <w:r w:rsidR="008345FB">
        <w:rPr>
          <w:rFonts w:ascii="Arial" w:hAnsi="Arial" w:cs="Arial"/>
          <w:lang w:val="en-GB"/>
        </w:rPr>
        <w:t>5</w:t>
      </w:r>
      <w:r w:rsidR="00460B8F">
        <w:rPr>
          <w:rFonts w:ascii="Arial" w:hAnsi="Arial" w:cs="Arial"/>
          <w:lang w:val="en-GB"/>
        </w:rPr>
        <w:t xml:space="preserve"> </w:t>
      </w:r>
      <w:r w:rsidR="00460B8F">
        <w:rPr>
          <w:rFonts w:ascii="Arial" w:hAnsi="Arial" w:cs="Arial"/>
          <w:lang w:val="en-GB"/>
        </w:rPr>
        <w:tab/>
      </w:r>
      <w:r w:rsidR="00440314">
        <w:rPr>
          <w:rFonts w:ascii="Arial" w:hAnsi="Arial" w:cs="Arial"/>
          <w:lang w:val="en-GB"/>
        </w:rPr>
        <w:t xml:space="preserve">If anybody who is entitled to succeed to the tenancy under the </w:t>
      </w:r>
      <w:proofErr w:type="gramStart"/>
      <w:r w:rsidR="00440314">
        <w:rPr>
          <w:rFonts w:ascii="Arial" w:hAnsi="Arial" w:cs="Arial"/>
          <w:lang w:val="en-GB"/>
        </w:rPr>
        <w:t>three</w:t>
      </w:r>
      <w:proofErr w:type="gramEnd"/>
      <w:r w:rsidR="00440314">
        <w:rPr>
          <w:rFonts w:ascii="Arial" w:hAnsi="Arial" w:cs="Arial"/>
          <w:lang w:val="en-GB"/>
        </w:rPr>
        <w:t xml:space="preserve"> </w:t>
      </w:r>
      <w:r w:rsidR="00460B8F">
        <w:rPr>
          <w:rFonts w:ascii="Arial" w:hAnsi="Arial" w:cs="Arial"/>
          <w:lang w:val="en-GB"/>
        </w:rPr>
        <w:t xml:space="preserve"> </w:t>
      </w:r>
    </w:p>
    <w:p w14:paraId="2349519F" w14:textId="77777777" w:rsidR="00440314" w:rsidRDefault="00440314" w:rsidP="00460B8F">
      <w:pPr>
        <w:spacing w:line="360" w:lineRule="auto"/>
        <w:ind w:left="720"/>
        <w:rPr>
          <w:rFonts w:ascii="Arial" w:hAnsi="Arial" w:cs="Arial"/>
          <w:lang w:val="en-GB"/>
        </w:rPr>
      </w:pPr>
      <w:r>
        <w:rPr>
          <w:rFonts w:ascii="Arial" w:hAnsi="Arial" w:cs="Arial"/>
          <w:lang w:val="en-GB"/>
        </w:rPr>
        <w:t xml:space="preserve">priority levels </w:t>
      </w:r>
      <w:proofErr w:type="gramStart"/>
      <w:r>
        <w:rPr>
          <w:rFonts w:ascii="Arial" w:hAnsi="Arial" w:cs="Arial"/>
          <w:lang w:val="en-GB"/>
        </w:rPr>
        <w:t>declines</w:t>
      </w:r>
      <w:proofErr w:type="gramEnd"/>
      <w:r>
        <w:rPr>
          <w:rFonts w:ascii="Arial" w:hAnsi="Arial" w:cs="Arial"/>
          <w:lang w:val="en-GB"/>
        </w:rPr>
        <w:t xml:space="preserve"> to</w:t>
      </w:r>
      <w:r w:rsidR="00A22A13">
        <w:rPr>
          <w:rFonts w:ascii="Arial" w:hAnsi="Arial" w:cs="Arial"/>
          <w:lang w:val="en-GB"/>
        </w:rPr>
        <w:t xml:space="preserve"> accept the offer of the tenancy, it is </w:t>
      </w:r>
      <w:r w:rsidR="008345FB">
        <w:rPr>
          <w:rFonts w:ascii="Arial" w:hAnsi="Arial" w:cs="Arial"/>
          <w:lang w:val="en-GB"/>
        </w:rPr>
        <w:t xml:space="preserve">the </w:t>
      </w:r>
      <w:r w:rsidR="00A22A13" w:rsidRPr="00A22A13">
        <w:rPr>
          <w:rFonts w:ascii="Arial" w:hAnsi="Arial" w:cs="Arial"/>
          <w:lang w:val="en-GB"/>
        </w:rPr>
        <w:t>Association</w:t>
      </w:r>
      <w:r w:rsidR="00A757F6">
        <w:rPr>
          <w:rFonts w:ascii="Arial" w:hAnsi="Arial" w:cs="Arial"/>
          <w:lang w:val="en-GB"/>
        </w:rPr>
        <w:t>’s</w:t>
      </w:r>
      <w:r w:rsidR="00A22A13">
        <w:rPr>
          <w:rFonts w:ascii="Arial" w:hAnsi="Arial" w:cs="Arial"/>
          <w:lang w:val="en-GB"/>
        </w:rPr>
        <w:t xml:space="preserve"> responsibility to determine whether or not there may be other qualified parties with lesser priority to succeed to the tenancy.  In these instances</w:t>
      </w:r>
      <w:r w:rsidR="00A757F6">
        <w:rPr>
          <w:rFonts w:ascii="Arial" w:hAnsi="Arial" w:cs="Arial"/>
          <w:lang w:val="en-GB"/>
        </w:rPr>
        <w:t>,</w:t>
      </w:r>
      <w:r w:rsidR="00A22A13">
        <w:rPr>
          <w:rFonts w:ascii="Arial" w:hAnsi="Arial" w:cs="Arial"/>
          <w:lang w:val="en-GB"/>
        </w:rPr>
        <w:t xml:space="preserve"> we will write to any such person we identify in our investigations to determine </w:t>
      </w:r>
      <w:proofErr w:type="gramStart"/>
      <w:r w:rsidR="00A22A13">
        <w:rPr>
          <w:rFonts w:ascii="Arial" w:hAnsi="Arial" w:cs="Arial"/>
          <w:lang w:val="en-GB"/>
        </w:rPr>
        <w:t>whether or not</w:t>
      </w:r>
      <w:proofErr w:type="gramEnd"/>
      <w:r w:rsidR="00A22A13">
        <w:rPr>
          <w:rFonts w:ascii="Arial" w:hAnsi="Arial" w:cs="Arial"/>
          <w:lang w:val="en-GB"/>
        </w:rPr>
        <w:t xml:space="preserve"> they wish to succeed to the tenancy.</w:t>
      </w:r>
    </w:p>
    <w:p w14:paraId="4ECD0459" w14:textId="77777777" w:rsidR="00460B8F" w:rsidRDefault="00460B8F" w:rsidP="00460B8F">
      <w:pPr>
        <w:spacing w:line="360" w:lineRule="auto"/>
        <w:ind w:left="720"/>
        <w:rPr>
          <w:rFonts w:ascii="Arial" w:hAnsi="Arial" w:cs="Arial"/>
          <w:lang w:val="en-GB"/>
        </w:rPr>
      </w:pPr>
    </w:p>
    <w:p w14:paraId="2A2C9E07" w14:textId="77777777" w:rsidR="00460B8F" w:rsidRPr="008345FB" w:rsidRDefault="008345FB" w:rsidP="008345FB">
      <w:pPr>
        <w:spacing w:line="360" w:lineRule="auto"/>
        <w:rPr>
          <w:rFonts w:ascii="Arial" w:hAnsi="Arial" w:cs="Arial"/>
          <w:lang w:val="en-GB"/>
        </w:rPr>
      </w:pPr>
      <w:r>
        <w:rPr>
          <w:rFonts w:ascii="Arial" w:hAnsi="Arial" w:cs="Arial"/>
          <w:lang w:val="en-GB"/>
        </w:rPr>
        <w:t>5.6</w:t>
      </w:r>
      <w:r w:rsidR="006D5D9F" w:rsidRPr="008345FB">
        <w:rPr>
          <w:rFonts w:ascii="Arial" w:hAnsi="Arial" w:cs="Arial"/>
          <w:lang w:val="en-GB"/>
        </w:rPr>
        <w:t xml:space="preserve">     </w:t>
      </w:r>
      <w:r w:rsidR="00A22A13" w:rsidRPr="008345FB">
        <w:rPr>
          <w:rFonts w:ascii="Arial" w:hAnsi="Arial" w:cs="Arial"/>
          <w:lang w:val="en-GB"/>
        </w:rPr>
        <w:t xml:space="preserve">When succession to a tenancy is verified and confirmed, </w:t>
      </w:r>
      <w:r w:rsidRPr="008345FB">
        <w:rPr>
          <w:rFonts w:ascii="Arial" w:hAnsi="Arial" w:cs="Arial"/>
          <w:lang w:val="en-GB"/>
        </w:rPr>
        <w:t xml:space="preserve">the </w:t>
      </w:r>
    </w:p>
    <w:p w14:paraId="0CB74844" w14:textId="77777777" w:rsidR="00A22A13" w:rsidRDefault="00A22A13" w:rsidP="00460B8F">
      <w:pPr>
        <w:spacing w:line="360" w:lineRule="auto"/>
        <w:ind w:left="720"/>
        <w:rPr>
          <w:rFonts w:ascii="Arial" w:hAnsi="Arial" w:cs="Arial"/>
          <w:lang w:val="en-GB"/>
        </w:rPr>
      </w:pPr>
      <w:r w:rsidRPr="00A22A13">
        <w:rPr>
          <w:rFonts w:ascii="Arial" w:hAnsi="Arial" w:cs="Arial"/>
          <w:lang w:val="en-GB"/>
        </w:rPr>
        <w:t>Association</w:t>
      </w:r>
      <w:r>
        <w:rPr>
          <w:rFonts w:ascii="Arial" w:hAnsi="Arial" w:cs="Arial"/>
          <w:lang w:val="en-GB"/>
        </w:rPr>
        <w:t xml:space="preserve"> will grant the succession to the qualifying person by an exchange of letters whereby the Association recognises the rights of the successor and confirms that </w:t>
      </w:r>
      <w:proofErr w:type="gramStart"/>
      <w:r>
        <w:rPr>
          <w:rFonts w:ascii="Arial" w:hAnsi="Arial" w:cs="Arial"/>
          <w:lang w:val="en-GB"/>
        </w:rPr>
        <w:t>all of</w:t>
      </w:r>
      <w:proofErr w:type="gramEnd"/>
      <w:r>
        <w:rPr>
          <w:rFonts w:ascii="Arial" w:hAnsi="Arial" w:cs="Arial"/>
          <w:lang w:val="en-GB"/>
        </w:rPr>
        <w:t xml:space="preserve"> the terms and conditions of the original tenancy have been conferred to the successor, the only exception being that one round of succession has already occurred which leaves one </w:t>
      </w:r>
      <w:r>
        <w:rPr>
          <w:rFonts w:ascii="Arial" w:hAnsi="Arial" w:cs="Arial"/>
          <w:lang w:val="en-GB"/>
        </w:rPr>
        <w:lastRenderedPageBreak/>
        <w:t>further round to take place on the death of the successor to the tenancy.  The successor will indicate their acceptance of the tenancy in writing.</w:t>
      </w:r>
    </w:p>
    <w:p w14:paraId="6E5C0462" w14:textId="77777777" w:rsidR="00812CA9" w:rsidRDefault="00812CA9" w:rsidP="00460B8F">
      <w:pPr>
        <w:spacing w:line="360" w:lineRule="auto"/>
        <w:rPr>
          <w:rFonts w:ascii="Arial" w:hAnsi="Arial" w:cs="Arial"/>
          <w:lang w:val="en-GB"/>
        </w:rPr>
      </w:pPr>
    </w:p>
    <w:p w14:paraId="5B211FD5" w14:textId="77777777" w:rsidR="00460B8F" w:rsidRPr="00893427" w:rsidRDefault="0080171F" w:rsidP="00460B8F">
      <w:pPr>
        <w:spacing w:line="360" w:lineRule="auto"/>
        <w:rPr>
          <w:rFonts w:ascii="Arial" w:hAnsi="Arial" w:cs="Arial"/>
          <w:b/>
          <w:lang w:val="en-GB"/>
        </w:rPr>
      </w:pPr>
      <w:r>
        <w:rPr>
          <w:rFonts w:ascii="Arial" w:hAnsi="Arial" w:cs="Arial"/>
          <w:b/>
          <w:lang w:val="en-GB"/>
        </w:rPr>
        <w:t>6</w:t>
      </w:r>
      <w:r w:rsidR="00460B8F" w:rsidRPr="00893427">
        <w:rPr>
          <w:rFonts w:ascii="Arial" w:hAnsi="Arial" w:cs="Arial"/>
          <w:b/>
          <w:lang w:val="en-GB"/>
        </w:rPr>
        <w:t>.</w:t>
      </w:r>
      <w:r w:rsidR="00460B8F" w:rsidRPr="00893427">
        <w:rPr>
          <w:rFonts w:ascii="Arial" w:hAnsi="Arial" w:cs="Arial"/>
          <w:b/>
          <w:lang w:val="en-GB"/>
        </w:rPr>
        <w:tab/>
      </w:r>
      <w:r w:rsidR="00460B8F" w:rsidRPr="00A757F6">
        <w:rPr>
          <w:rFonts w:ascii="Arial" w:hAnsi="Arial" w:cs="Arial"/>
          <w:b/>
          <w:u w:val="single"/>
          <w:lang w:val="en-GB"/>
        </w:rPr>
        <w:t>Termination of Tenancy</w:t>
      </w:r>
      <w:r w:rsidR="00460B8F" w:rsidRPr="00893427">
        <w:rPr>
          <w:rFonts w:ascii="Arial" w:hAnsi="Arial" w:cs="Arial"/>
          <w:b/>
          <w:lang w:val="en-GB"/>
        </w:rPr>
        <w:t xml:space="preserve"> </w:t>
      </w:r>
    </w:p>
    <w:p w14:paraId="20CF0E84" w14:textId="77777777" w:rsidR="00460B8F" w:rsidRDefault="00460B8F" w:rsidP="00460B8F">
      <w:pPr>
        <w:spacing w:line="360" w:lineRule="auto"/>
        <w:rPr>
          <w:rFonts w:ascii="Arial" w:hAnsi="Arial" w:cs="Arial"/>
          <w:lang w:val="en-GB"/>
        </w:rPr>
      </w:pPr>
    </w:p>
    <w:p w14:paraId="426C9327" w14:textId="77777777" w:rsidR="00460B8F" w:rsidRDefault="00460B8F" w:rsidP="00460B8F">
      <w:pPr>
        <w:spacing w:line="360" w:lineRule="auto"/>
        <w:rPr>
          <w:rFonts w:ascii="Arial" w:hAnsi="Arial" w:cs="Arial"/>
          <w:lang w:val="en-GB"/>
        </w:rPr>
      </w:pPr>
      <w:r>
        <w:rPr>
          <w:rFonts w:ascii="Arial" w:hAnsi="Arial" w:cs="Arial"/>
          <w:lang w:val="en-GB"/>
        </w:rPr>
        <w:t>Where no one qualifies to succeed to the tenancy</w:t>
      </w:r>
      <w:r w:rsidR="00A757F6">
        <w:rPr>
          <w:rFonts w:ascii="Arial" w:hAnsi="Arial" w:cs="Arial"/>
          <w:lang w:val="en-GB"/>
        </w:rPr>
        <w:t>,</w:t>
      </w:r>
      <w:r>
        <w:rPr>
          <w:rFonts w:ascii="Arial" w:hAnsi="Arial" w:cs="Arial"/>
          <w:lang w:val="en-GB"/>
        </w:rPr>
        <w:t xml:space="preserve"> </w:t>
      </w:r>
      <w:r w:rsidRPr="00460B8F">
        <w:rPr>
          <w:rFonts w:ascii="Arial" w:hAnsi="Arial" w:cs="Arial"/>
          <w:lang w:val="en-GB"/>
        </w:rPr>
        <w:t>Angus Housing Association</w:t>
      </w:r>
      <w:r>
        <w:rPr>
          <w:rFonts w:ascii="Arial" w:hAnsi="Arial" w:cs="Arial"/>
          <w:lang w:val="en-GB"/>
        </w:rPr>
        <w:t xml:space="preserve"> will regard the tenancy as terminated as at the time of the death of the tenant and deal with the property in line with policies and procedures relating to empty properties.</w:t>
      </w:r>
    </w:p>
    <w:p w14:paraId="5A5617A8" w14:textId="77777777" w:rsidR="00460B8F" w:rsidRDefault="00460B8F" w:rsidP="00460B8F">
      <w:pPr>
        <w:spacing w:line="360" w:lineRule="auto"/>
        <w:rPr>
          <w:rFonts w:ascii="Arial" w:hAnsi="Arial" w:cs="Arial"/>
          <w:lang w:val="en-GB"/>
        </w:rPr>
      </w:pPr>
    </w:p>
    <w:p w14:paraId="33D675BA" w14:textId="77777777" w:rsidR="00460B8F" w:rsidRPr="00893427" w:rsidRDefault="00460B8F" w:rsidP="00460B8F">
      <w:pPr>
        <w:spacing w:line="360" w:lineRule="auto"/>
        <w:rPr>
          <w:rFonts w:ascii="Arial" w:hAnsi="Arial" w:cs="Arial"/>
          <w:b/>
          <w:lang w:val="en-GB"/>
        </w:rPr>
      </w:pPr>
      <w:r w:rsidRPr="00893427">
        <w:rPr>
          <w:rFonts w:ascii="Arial" w:hAnsi="Arial" w:cs="Arial"/>
          <w:b/>
          <w:lang w:val="en-GB"/>
        </w:rPr>
        <w:t>7.</w:t>
      </w:r>
      <w:r w:rsidRPr="00893427">
        <w:rPr>
          <w:rFonts w:ascii="Arial" w:hAnsi="Arial" w:cs="Arial"/>
          <w:b/>
          <w:lang w:val="en-GB"/>
        </w:rPr>
        <w:tab/>
      </w:r>
      <w:r w:rsidRPr="00A757F6">
        <w:rPr>
          <w:rFonts w:ascii="Arial" w:hAnsi="Arial" w:cs="Arial"/>
          <w:b/>
          <w:u w:val="single"/>
          <w:lang w:val="en-GB"/>
        </w:rPr>
        <w:t>Appeals Process Where Consent to Succeed is Refused</w:t>
      </w:r>
    </w:p>
    <w:p w14:paraId="456F376A" w14:textId="77777777" w:rsidR="00460B8F" w:rsidRDefault="00460B8F" w:rsidP="00460B8F">
      <w:pPr>
        <w:spacing w:line="360" w:lineRule="auto"/>
        <w:rPr>
          <w:rFonts w:ascii="Arial" w:hAnsi="Arial" w:cs="Arial"/>
          <w:lang w:val="en-GB"/>
        </w:rPr>
      </w:pPr>
    </w:p>
    <w:p w14:paraId="56ADA4FD" w14:textId="77777777" w:rsidR="00460B8F" w:rsidRDefault="00460B8F" w:rsidP="00460B8F">
      <w:pPr>
        <w:spacing w:line="360" w:lineRule="auto"/>
        <w:rPr>
          <w:rFonts w:ascii="Arial" w:hAnsi="Arial" w:cs="Arial"/>
          <w:lang w:val="en-GB"/>
        </w:rPr>
      </w:pPr>
      <w:r w:rsidRPr="00460B8F">
        <w:rPr>
          <w:rFonts w:ascii="Arial" w:hAnsi="Arial" w:cs="Arial"/>
          <w:lang w:val="en-GB"/>
        </w:rPr>
        <w:t>Angus Housing Association</w:t>
      </w:r>
      <w:r>
        <w:rPr>
          <w:rFonts w:ascii="Arial" w:hAnsi="Arial" w:cs="Arial"/>
          <w:lang w:val="en-GB"/>
        </w:rPr>
        <w:t xml:space="preserve"> may not refuse to recognise a succession where a legitimate successor has been identified who meets the provision of the Housing (Scotland) Act 2001.  </w:t>
      </w:r>
      <w:r w:rsidR="00893427" w:rsidRPr="00893427">
        <w:rPr>
          <w:rFonts w:ascii="Arial" w:hAnsi="Arial" w:cs="Arial"/>
          <w:lang w:val="en-GB"/>
        </w:rPr>
        <w:t>Angus Housing Association</w:t>
      </w:r>
      <w:r w:rsidR="00893427">
        <w:rPr>
          <w:rFonts w:ascii="Arial" w:hAnsi="Arial" w:cs="Arial"/>
          <w:lang w:val="en-GB"/>
        </w:rPr>
        <w:t xml:space="preserve"> is aware from time to time </w:t>
      </w:r>
      <w:proofErr w:type="gramStart"/>
      <w:r w:rsidR="00893427">
        <w:rPr>
          <w:rFonts w:ascii="Arial" w:hAnsi="Arial" w:cs="Arial"/>
          <w:lang w:val="en-GB"/>
        </w:rPr>
        <w:t>a number of</w:t>
      </w:r>
      <w:proofErr w:type="gramEnd"/>
      <w:r w:rsidR="00893427">
        <w:rPr>
          <w:rFonts w:ascii="Arial" w:hAnsi="Arial" w:cs="Arial"/>
          <w:lang w:val="en-GB"/>
        </w:rPr>
        <w:t xml:space="preserve"> parties may emerge who believe that they have priority to be the sole successor to the tenancy.  In these cases, having taken legal </w:t>
      </w:r>
      <w:r w:rsidR="00C53675">
        <w:rPr>
          <w:rFonts w:ascii="Arial" w:hAnsi="Arial" w:cs="Arial"/>
          <w:lang w:val="en-GB"/>
        </w:rPr>
        <w:t>advice</w:t>
      </w:r>
      <w:r w:rsidR="00893427">
        <w:rPr>
          <w:rFonts w:ascii="Arial" w:hAnsi="Arial" w:cs="Arial"/>
          <w:lang w:val="en-GB"/>
        </w:rPr>
        <w:t xml:space="preserve">, </w:t>
      </w:r>
      <w:r w:rsidR="00893427" w:rsidRPr="00893427">
        <w:rPr>
          <w:rFonts w:ascii="Arial" w:hAnsi="Arial" w:cs="Arial"/>
          <w:lang w:val="en-GB"/>
        </w:rPr>
        <w:t>Angus Housing Association</w:t>
      </w:r>
      <w:r w:rsidR="00893427">
        <w:rPr>
          <w:rFonts w:ascii="Arial" w:hAnsi="Arial" w:cs="Arial"/>
          <w:lang w:val="en-GB"/>
        </w:rPr>
        <w:t xml:space="preserve"> may have to refuse a successor in favour of another in terms of the Act.  Any appeal on a decision to refuse recognition of succession should be made to the Housing Manager in the first instance.  This does not prejudice the successor’s right to raise a Court action under Part 2 of Schedule 5 of the Housing (Scotland) Act 2001.</w:t>
      </w:r>
    </w:p>
    <w:p w14:paraId="5E9F62B0" w14:textId="77777777" w:rsidR="00554F20" w:rsidRDefault="00554F20" w:rsidP="00460B8F">
      <w:pPr>
        <w:spacing w:line="360" w:lineRule="auto"/>
        <w:rPr>
          <w:rFonts w:ascii="Arial" w:hAnsi="Arial" w:cs="Arial"/>
          <w:lang w:val="en-GB"/>
        </w:rPr>
      </w:pPr>
    </w:p>
    <w:p w14:paraId="2399DF8B" w14:textId="77777777" w:rsidR="00554F20" w:rsidRPr="009D4052" w:rsidRDefault="00554F20" w:rsidP="00460B8F">
      <w:pPr>
        <w:spacing w:line="360" w:lineRule="auto"/>
        <w:rPr>
          <w:rFonts w:ascii="Arial" w:hAnsi="Arial" w:cs="Arial"/>
          <w:b/>
          <w:lang w:val="en-GB"/>
        </w:rPr>
      </w:pPr>
      <w:r w:rsidRPr="009D4052">
        <w:rPr>
          <w:rFonts w:ascii="Arial" w:hAnsi="Arial" w:cs="Arial"/>
          <w:b/>
          <w:lang w:val="en-GB"/>
        </w:rPr>
        <w:t>8.</w:t>
      </w:r>
      <w:r w:rsidRPr="009D4052">
        <w:rPr>
          <w:rFonts w:ascii="Arial" w:hAnsi="Arial" w:cs="Arial"/>
          <w:b/>
          <w:lang w:val="en-GB"/>
        </w:rPr>
        <w:tab/>
      </w:r>
      <w:r w:rsidRPr="009D4052">
        <w:rPr>
          <w:rFonts w:ascii="Arial" w:hAnsi="Arial" w:cs="Arial"/>
          <w:b/>
          <w:u w:val="single"/>
          <w:lang w:val="en-GB"/>
        </w:rPr>
        <w:t>Specially Adapted Properties</w:t>
      </w:r>
    </w:p>
    <w:p w14:paraId="612196A9" w14:textId="77777777" w:rsidR="00554F20" w:rsidRDefault="00554F20" w:rsidP="00460B8F">
      <w:pPr>
        <w:spacing w:line="360" w:lineRule="auto"/>
        <w:rPr>
          <w:rFonts w:ascii="Arial" w:hAnsi="Arial" w:cs="Arial"/>
          <w:lang w:val="en-GB"/>
        </w:rPr>
      </w:pPr>
    </w:p>
    <w:p w14:paraId="609DAFF4" w14:textId="77777777" w:rsidR="009B5390" w:rsidRDefault="003A3E63" w:rsidP="00460B8F">
      <w:pPr>
        <w:spacing w:line="360" w:lineRule="auto"/>
        <w:rPr>
          <w:rFonts w:ascii="Arial" w:hAnsi="Arial" w:cs="Arial"/>
          <w:lang w:val="en-GB"/>
        </w:rPr>
      </w:pPr>
      <w:r>
        <w:rPr>
          <w:rFonts w:ascii="Arial" w:hAnsi="Arial" w:cs="Arial"/>
          <w:lang w:val="en-GB"/>
        </w:rPr>
        <w:t>Where the house has</w:t>
      </w:r>
      <w:r w:rsidR="009B5390">
        <w:rPr>
          <w:rFonts w:ascii="Arial" w:hAnsi="Arial" w:cs="Arial"/>
          <w:lang w:val="en-GB"/>
        </w:rPr>
        <w:t xml:space="preserve"> been</w:t>
      </w:r>
      <w:r>
        <w:rPr>
          <w:rFonts w:ascii="Arial" w:hAnsi="Arial" w:cs="Arial"/>
          <w:lang w:val="en-GB"/>
        </w:rPr>
        <w:t xml:space="preserve"> </w:t>
      </w:r>
      <w:r w:rsidR="00554F20">
        <w:rPr>
          <w:rFonts w:ascii="Arial" w:hAnsi="Arial" w:cs="Arial"/>
          <w:lang w:val="en-GB"/>
        </w:rPr>
        <w:t>designed or substantially adapted for the use of persons with special needs</w:t>
      </w:r>
      <w:r>
        <w:rPr>
          <w:rFonts w:ascii="Arial" w:hAnsi="Arial" w:cs="Arial"/>
          <w:lang w:val="en-GB"/>
        </w:rPr>
        <w:t xml:space="preserve"> arrangements for succession will depend on whether it is a first or second </w:t>
      </w:r>
      <w:r w:rsidR="009B5390">
        <w:rPr>
          <w:rFonts w:ascii="Arial" w:hAnsi="Arial" w:cs="Arial"/>
          <w:lang w:val="en-GB"/>
        </w:rPr>
        <w:t>succession and the needs of the potential successor.</w:t>
      </w:r>
    </w:p>
    <w:p w14:paraId="1C740653" w14:textId="77777777" w:rsidR="00A87E35" w:rsidRDefault="00A87E35" w:rsidP="00A87E35">
      <w:pPr>
        <w:spacing w:line="360" w:lineRule="auto"/>
        <w:rPr>
          <w:rFonts w:ascii="Arial" w:hAnsi="Arial" w:cs="Arial"/>
          <w:lang w:val="en-GB"/>
        </w:rPr>
      </w:pPr>
      <w:r>
        <w:rPr>
          <w:rFonts w:ascii="Arial" w:hAnsi="Arial" w:cs="Arial"/>
          <w:lang w:val="en-GB"/>
        </w:rPr>
        <w:t xml:space="preserve">A house that has been designed or substantially adapted for the use of persons with special needs can only pass by Succession in the following circumstances – </w:t>
      </w:r>
    </w:p>
    <w:p w14:paraId="2A235A19" w14:textId="77777777" w:rsidR="00A87E35" w:rsidRDefault="00A87E35" w:rsidP="00A87E35">
      <w:pPr>
        <w:spacing w:line="360" w:lineRule="auto"/>
        <w:rPr>
          <w:rFonts w:ascii="Arial" w:hAnsi="Arial" w:cs="Arial"/>
          <w:lang w:val="en-GB"/>
        </w:rPr>
      </w:pPr>
    </w:p>
    <w:p w14:paraId="2944308C" w14:textId="77777777" w:rsidR="009B5390" w:rsidRDefault="009B5390" w:rsidP="00460B8F">
      <w:pPr>
        <w:spacing w:line="360" w:lineRule="auto"/>
        <w:rPr>
          <w:rFonts w:ascii="Arial" w:hAnsi="Arial" w:cs="Arial"/>
          <w:lang w:val="en-GB"/>
        </w:rPr>
      </w:pPr>
    </w:p>
    <w:p w14:paraId="38073EEE" w14:textId="77777777" w:rsidR="00A87E35" w:rsidRDefault="00A87E35" w:rsidP="00460B8F">
      <w:pPr>
        <w:spacing w:line="360" w:lineRule="auto"/>
        <w:rPr>
          <w:rFonts w:ascii="Arial" w:hAnsi="Arial" w:cs="Arial"/>
          <w:lang w:val="en-GB"/>
        </w:rPr>
      </w:pPr>
    </w:p>
    <w:p w14:paraId="090602A9" w14:textId="77777777" w:rsidR="007F7C8F" w:rsidRDefault="007F7C8F" w:rsidP="00460B8F">
      <w:pPr>
        <w:spacing w:line="360" w:lineRule="auto"/>
        <w:rPr>
          <w:rFonts w:ascii="Arial" w:hAnsi="Arial" w:cs="Arial"/>
          <w:lang w:val="en-GB"/>
        </w:rPr>
      </w:pPr>
    </w:p>
    <w:p w14:paraId="46A0CAD6" w14:textId="77777777" w:rsidR="00641950" w:rsidRDefault="00641950" w:rsidP="00460B8F">
      <w:pPr>
        <w:spacing w:line="360" w:lineRule="auto"/>
        <w:rPr>
          <w:rFonts w:ascii="Arial" w:hAnsi="Arial" w:cs="Arial"/>
          <w:lang w:val="en-GB"/>
        </w:rPr>
      </w:pPr>
    </w:p>
    <w:p w14:paraId="21924B7C" w14:textId="77777777" w:rsidR="00A87E35" w:rsidRDefault="00A87E35" w:rsidP="00460B8F">
      <w:pPr>
        <w:spacing w:line="360" w:lineRule="auto"/>
        <w:rPr>
          <w:rFonts w:ascii="Arial" w:hAnsi="Arial" w:cs="Arial"/>
          <w:lang w:val="en-GB"/>
        </w:rPr>
      </w:pPr>
      <w:r>
        <w:rPr>
          <w:rFonts w:ascii="Arial" w:hAnsi="Arial" w:cs="Arial"/>
          <w:lang w:val="en-GB"/>
        </w:rPr>
        <w:lastRenderedPageBreak/>
        <w:t>At the first succession –</w:t>
      </w:r>
    </w:p>
    <w:p w14:paraId="0466A26D" w14:textId="77777777" w:rsidR="00A87E35" w:rsidRDefault="00A87E35" w:rsidP="00460B8F">
      <w:pPr>
        <w:spacing w:line="360" w:lineRule="auto"/>
        <w:rPr>
          <w:rFonts w:ascii="Arial" w:hAnsi="Arial" w:cs="Arial"/>
          <w:lang w:val="en-GB"/>
        </w:rPr>
      </w:pPr>
    </w:p>
    <w:p w14:paraId="7071E2EC" w14:textId="77777777" w:rsidR="00A87E35" w:rsidRDefault="00A87E35" w:rsidP="00A87E35">
      <w:pPr>
        <w:numPr>
          <w:ilvl w:val="0"/>
          <w:numId w:val="14"/>
        </w:numPr>
        <w:spacing w:line="360" w:lineRule="auto"/>
        <w:rPr>
          <w:rFonts w:ascii="Arial" w:hAnsi="Arial" w:cs="Arial"/>
          <w:lang w:val="en-GB"/>
        </w:rPr>
      </w:pPr>
      <w:r>
        <w:rPr>
          <w:rFonts w:ascii="Arial" w:hAnsi="Arial" w:cs="Arial"/>
          <w:lang w:val="en-GB"/>
        </w:rPr>
        <w:t xml:space="preserve">A person succeeding under </w:t>
      </w:r>
      <w:proofErr w:type="gramStart"/>
      <w:r w:rsidRPr="00A87E35">
        <w:rPr>
          <w:rFonts w:ascii="Arial" w:hAnsi="Arial" w:cs="Arial"/>
          <w:i/>
          <w:lang w:val="en-GB"/>
        </w:rPr>
        <w:t>Level  1</w:t>
      </w:r>
      <w:proofErr w:type="gramEnd"/>
      <w:r>
        <w:rPr>
          <w:rFonts w:ascii="Arial" w:hAnsi="Arial" w:cs="Arial"/>
          <w:lang w:val="en-GB"/>
        </w:rPr>
        <w:t>, whether or not they have special needs which require accommodation of the kind provided by the house  or</w:t>
      </w:r>
    </w:p>
    <w:p w14:paraId="5C1B61D5" w14:textId="77777777" w:rsidR="00DE14A8" w:rsidRPr="0096771C" w:rsidRDefault="008A2720" w:rsidP="0096771C">
      <w:pPr>
        <w:pStyle w:val="ListParagraph"/>
        <w:numPr>
          <w:ilvl w:val="0"/>
          <w:numId w:val="14"/>
        </w:numPr>
        <w:spacing w:line="360" w:lineRule="auto"/>
        <w:rPr>
          <w:rFonts w:ascii="Arial" w:hAnsi="Arial" w:cs="Arial"/>
        </w:rPr>
      </w:pPr>
      <w:r w:rsidRPr="0096771C">
        <w:rPr>
          <w:rFonts w:ascii="Arial" w:hAnsi="Arial" w:cs="Arial"/>
        </w:rPr>
        <w:t xml:space="preserve">At the first succession, if someone qualifies for the tenancy at </w:t>
      </w:r>
      <w:r w:rsidRPr="0096771C">
        <w:rPr>
          <w:rFonts w:ascii="Arial" w:hAnsi="Arial" w:cs="Arial"/>
          <w:i/>
        </w:rPr>
        <w:t>Level 2</w:t>
      </w:r>
      <w:r w:rsidRPr="0096771C">
        <w:rPr>
          <w:rFonts w:ascii="Arial" w:hAnsi="Arial" w:cs="Arial"/>
        </w:rPr>
        <w:t xml:space="preserve"> or </w:t>
      </w:r>
      <w:r w:rsidRPr="0096771C">
        <w:rPr>
          <w:rFonts w:ascii="Arial" w:hAnsi="Arial" w:cs="Arial"/>
          <w:i/>
        </w:rPr>
        <w:t xml:space="preserve">Level </w:t>
      </w:r>
      <w:r w:rsidR="00F514D6" w:rsidRPr="0096771C">
        <w:rPr>
          <w:rFonts w:ascii="Arial" w:hAnsi="Arial" w:cs="Arial"/>
          <w:i/>
        </w:rPr>
        <w:t>3</w:t>
      </w:r>
      <w:r w:rsidR="00F514D6" w:rsidRPr="0096771C">
        <w:rPr>
          <w:rFonts w:ascii="Arial" w:hAnsi="Arial" w:cs="Arial"/>
        </w:rPr>
        <w:t xml:space="preserve"> </w:t>
      </w:r>
      <w:r w:rsidRPr="0096771C">
        <w:rPr>
          <w:rFonts w:ascii="Arial" w:hAnsi="Arial" w:cs="Arial"/>
        </w:rPr>
        <w:t>and does not have special needs requiring accommodation of that kind, we will terminate the tenancy and offer that person suitable alternative accommodation.</w:t>
      </w:r>
      <w:r w:rsidR="00DE14A8" w:rsidRPr="0096771C">
        <w:rPr>
          <w:rFonts w:ascii="Arial" w:hAnsi="Arial" w:cs="Arial"/>
        </w:rPr>
        <w:t xml:space="preserve"> </w:t>
      </w:r>
    </w:p>
    <w:p w14:paraId="21850A03" w14:textId="77777777" w:rsidR="0096771C" w:rsidRDefault="0096771C" w:rsidP="0096771C">
      <w:pPr>
        <w:spacing w:line="360" w:lineRule="auto"/>
        <w:ind w:left="720"/>
        <w:rPr>
          <w:rFonts w:ascii="Arial" w:hAnsi="Arial" w:cs="Arial"/>
        </w:rPr>
      </w:pPr>
    </w:p>
    <w:p w14:paraId="07DDE292" w14:textId="77777777" w:rsidR="00DE14A8" w:rsidRDefault="008A2720" w:rsidP="0096771C">
      <w:pPr>
        <w:spacing w:line="360" w:lineRule="auto"/>
        <w:ind w:left="720"/>
        <w:rPr>
          <w:rFonts w:ascii="Arial" w:hAnsi="Arial" w:cs="Arial"/>
        </w:rPr>
      </w:pPr>
      <w:r w:rsidRPr="008A2720">
        <w:rPr>
          <w:rFonts w:ascii="Arial" w:hAnsi="Arial" w:cs="Arial"/>
        </w:rPr>
        <w:t>Until suit</w:t>
      </w:r>
      <w:r w:rsidR="00DE14A8">
        <w:rPr>
          <w:rFonts w:ascii="Arial" w:hAnsi="Arial" w:cs="Arial"/>
        </w:rPr>
        <w:t xml:space="preserve">able alternative accommodation becomes available, the Association </w:t>
      </w:r>
      <w:r w:rsidRPr="008A2720">
        <w:rPr>
          <w:rFonts w:ascii="Arial" w:hAnsi="Arial" w:cs="Arial"/>
        </w:rPr>
        <w:t>will allow the remaining residents to remain in the property on a Short Scottish Secure Tenancy.</w:t>
      </w:r>
    </w:p>
    <w:p w14:paraId="6649A778" w14:textId="77777777" w:rsidR="00DE14A8" w:rsidRDefault="00DE14A8" w:rsidP="008A2720">
      <w:pPr>
        <w:spacing w:line="360" w:lineRule="auto"/>
        <w:rPr>
          <w:rFonts w:ascii="Arial" w:hAnsi="Arial" w:cs="Arial"/>
        </w:rPr>
      </w:pPr>
    </w:p>
    <w:p w14:paraId="32AA9BC8" w14:textId="77777777" w:rsidR="0096771C" w:rsidRDefault="0096771C" w:rsidP="008A2720">
      <w:pPr>
        <w:spacing w:line="360" w:lineRule="auto"/>
        <w:rPr>
          <w:rFonts w:ascii="Arial" w:hAnsi="Arial" w:cs="Arial"/>
        </w:rPr>
      </w:pPr>
      <w:r>
        <w:rPr>
          <w:rFonts w:ascii="Arial" w:hAnsi="Arial" w:cs="Arial"/>
        </w:rPr>
        <w:t xml:space="preserve">At the second succession – </w:t>
      </w:r>
    </w:p>
    <w:p w14:paraId="562724CB" w14:textId="77777777" w:rsidR="0096771C" w:rsidRDefault="0096771C" w:rsidP="008A2720">
      <w:pPr>
        <w:spacing w:line="360" w:lineRule="auto"/>
        <w:rPr>
          <w:rFonts w:ascii="Arial" w:hAnsi="Arial" w:cs="Arial"/>
        </w:rPr>
      </w:pPr>
    </w:p>
    <w:p w14:paraId="36BB511E" w14:textId="77777777" w:rsidR="008A2720" w:rsidRPr="0096771C" w:rsidRDefault="008A2720" w:rsidP="0096771C">
      <w:pPr>
        <w:pStyle w:val="ListParagraph"/>
        <w:numPr>
          <w:ilvl w:val="0"/>
          <w:numId w:val="21"/>
        </w:numPr>
        <w:spacing w:line="360" w:lineRule="auto"/>
        <w:rPr>
          <w:rFonts w:ascii="Arial" w:hAnsi="Arial" w:cs="Arial"/>
        </w:rPr>
      </w:pPr>
      <w:r w:rsidRPr="0096771C">
        <w:rPr>
          <w:rFonts w:ascii="Arial" w:hAnsi="Arial" w:cs="Arial"/>
        </w:rPr>
        <w:t xml:space="preserve">At a second succession where someone qualifies at Level </w:t>
      </w:r>
      <w:r w:rsidR="00DE14A8" w:rsidRPr="0096771C">
        <w:rPr>
          <w:rFonts w:ascii="Arial" w:hAnsi="Arial" w:cs="Arial"/>
        </w:rPr>
        <w:t>1, Level 2</w:t>
      </w:r>
      <w:r w:rsidRPr="0096771C">
        <w:rPr>
          <w:rFonts w:ascii="Arial" w:hAnsi="Arial" w:cs="Arial"/>
        </w:rPr>
        <w:t xml:space="preserve"> or Level </w:t>
      </w:r>
      <w:r w:rsidR="00DE14A8" w:rsidRPr="0096771C">
        <w:rPr>
          <w:rFonts w:ascii="Arial" w:hAnsi="Arial" w:cs="Arial"/>
        </w:rPr>
        <w:t>3</w:t>
      </w:r>
      <w:r w:rsidRPr="0096771C">
        <w:rPr>
          <w:rFonts w:ascii="Arial" w:hAnsi="Arial" w:cs="Arial"/>
        </w:rPr>
        <w:t xml:space="preserve"> and does not have special needs requiring accommodation of that kind, we will terminate the tenancy and offer that person suitable alternative accommodation.</w:t>
      </w:r>
      <w:r w:rsidR="00DE14A8" w:rsidRPr="0096771C">
        <w:rPr>
          <w:rFonts w:ascii="Arial" w:hAnsi="Arial" w:cs="Arial"/>
        </w:rPr>
        <w:t xml:space="preserve"> </w:t>
      </w:r>
      <w:r w:rsidRPr="0096771C">
        <w:rPr>
          <w:rFonts w:ascii="Arial" w:hAnsi="Arial" w:cs="Arial"/>
        </w:rPr>
        <w:t xml:space="preserve">Until suitable alternative accommodation </w:t>
      </w:r>
      <w:r w:rsidR="00DE14A8" w:rsidRPr="0096771C">
        <w:rPr>
          <w:rFonts w:ascii="Arial" w:hAnsi="Arial" w:cs="Arial"/>
        </w:rPr>
        <w:t>becomes</w:t>
      </w:r>
      <w:r w:rsidRPr="0096771C">
        <w:rPr>
          <w:rFonts w:ascii="Arial" w:hAnsi="Arial" w:cs="Arial"/>
        </w:rPr>
        <w:t xml:space="preserve"> available, </w:t>
      </w:r>
      <w:r w:rsidR="00DE14A8" w:rsidRPr="0096771C">
        <w:rPr>
          <w:rFonts w:ascii="Arial" w:hAnsi="Arial" w:cs="Arial"/>
        </w:rPr>
        <w:t xml:space="preserve">the Association </w:t>
      </w:r>
      <w:r w:rsidRPr="0096771C">
        <w:rPr>
          <w:rFonts w:ascii="Arial" w:hAnsi="Arial" w:cs="Arial"/>
        </w:rPr>
        <w:t>will allow the remaining residents to remain in the property on a Short Scottish Secure Tenancy</w:t>
      </w:r>
      <w:r w:rsidR="00DE14A8" w:rsidRPr="0096771C">
        <w:rPr>
          <w:rFonts w:ascii="Arial" w:hAnsi="Arial" w:cs="Arial"/>
        </w:rPr>
        <w:t>.</w:t>
      </w:r>
    </w:p>
    <w:p w14:paraId="4B23CFC7" w14:textId="77777777" w:rsidR="00BA5134" w:rsidRDefault="00BA5134" w:rsidP="00460B8F">
      <w:pPr>
        <w:spacing w:line="360" w:lineRule="auto"/>
        <w:rPr>
          <w:rFonts w:ascii="Arial" w:hAnsi="Arial" w:cs="Arial"/>
          <w:b/>
          <w:lang w:val="en-GB"/>
        </w:rPr>
      </w:pPr>
    </w:p>
    <w:p w14:paraId="37E6E401" w14:textId="77777777" w:rsidR="00893427" w:rsidRPr="00893427" w:rsidRDefault="009D4052" w:rsidP="00460B8F">
      <w:pPr>
        <w:spacing w:line="360" w:lineRule="auto"/>
        <w:rPr>
          <w:rFonts w:ascii="Arial" w:hAnsi="Arial" w:cs="Arial"/>
          <w:b/>
          <w:lang w:val="en-GB"/>
        </w:rPr>
      </w:pPr>
      <w:r>
        <w:rPr>
          <w:rFonts w:ascii="Arial" w:hAnsi="Arial" w:cs="Arial"/>
          <w:b/>
          <w:lang w:val="en-GB"/>
        </w:rPr>
        <w:t>9</w:t>
      </w:r>
      <w:r w:rsidR="00893427" w:rsidRPr="00893427">
        <w:rPr>
          <w:rFonts w:ascii="Arial" w:hAnsi="Arial" w:cs="Arial"/>
          <w:b/>
          <w:lang w:val="en-GB"/>
        </w:rPr>
        <w:t>.</w:t>
      </w:r>
      <w:r w:rsidR="00893427" w:rsidRPr="00893427">
        <w:rPr>
          <w:rFonts w:ascii="Arial" w:hAnsi="Arial" w:cs="Arial"/>
          <w:b/>
          <w:lang w:val="en-GB"/>
        </w:rPr>
        <w:tab/>
      </w:r>
      <w:r w:rsidR="00893427" w:rsidRPr="00A757F6">
        <w:rPr>
          <w:rFonts w:ascii="Arial" w:hAnsi="Arial" w:cs="Arial"/>
          <w:b/>
          <w:u w:val="single"/>
          <w:lang w:val="en-GB"/>
        </w:rPr>
        <w:t>Civil Partnership Act 2004</w:t>
      </w:r>
      <w:r w:rsidR="00893427" w:rsidRPr="00893427">
        <w:rPr>
          <w:rFonts w:ascii="Arial" w:hAnsi="Arial" w:cs="Arial"/>
          <w:b/>
          <w:lang w:val="en-GB"/>
        </w:rPr>
        <w:t xml:space="preserve"> </w:t>
      </w:r>
    </w:p>
    <w:p w14:paraId="2FC5C49E" w14:textId="77777777" w:rsidR="00893427" w:rsidRDefault="00893427" w:rsidP="00460B8F">
      <w:pPr>
        <w:spacing w:line="360" w:lineRule="auto"/>
        <w:rPr>
          <w:rFonts w:ascii="Arial" w:hAnsi="Arial" w:cs="Arial"/>
          <w:lang w:val="en-GB"/>
        </w:rPr>
      </w:pPr>
      <w:r>
        <w:rPr>
          <w:rFonts w:ascii="Arial" w:hAnsi="Arial" w:cs="Arial"/>
          <w:lang w:val="en-GB"/>
        </w:rPr>
        <w:t xml:space="preserve"> </w:t>
      </w:r>
    </w:p>
    <w:p w14:paraId="5114BB76" w14:textId="77777777" w:rsidR="00893427" w:rsidRDefault="00893427" w:rsidP="00460B8F">
      <w:pPr>
        <w:spacing w:line="360" w:lineRule="auto"/>
        <w:rPr>
          <w:rFonts w:ascii="Arial" w:hAnsi="Arial" w:cs="Arial"/>
          <w:lang w:val="en-GB"/>
        </w:rPr>
      </w:pPr>
      <w:proofErr w:type="gramStart"/>
      <w:r>
        <w:rPr>
          <w:rFonts w:ascii="Arial" w:hAnsi="Arial" w:cs="Arial"/>
          <w:lang w:val="en-GB"/>
        </w:rPr>
        <w:t>For the purpose of</w:t>
      </w:r>
      <w:proofErr w:type="gramEnd"/>
      <w:r>
        <w:rPr>
          <w:rFonts w:ascii="Arial" w:hAnsi="Arial" w:cs="Arial"/>
          <w:lang w:val="en-GB"/>
        </w:rPr>
        <w:t xml:space="preserve"> succession to tenancies </w:t>
      </w:r>
      <w:r w:rsidRPr="00893427">
        <w:rPr>
          <w:rFonts w:ascii="Arial" w:hAnsi="Arial" w:cs="Arial"/>
          <w:lang w:val="en-GB"/>
        </w:rPr>
        <w:t>Angus Housing Association</w:t>
      </w:r>
      <w:r>
        <w:rPr>
          <w:rFonts w:ascii="Arial" w:hAnsi="Arial" w:cs="Arial"/>
          <w:lang w:val="en-GB"/>
        </w:rPr>
        <w:t xml:space="preserve"> will take into consideration the above legislation where </w:t>
      </w:r>
      <w:r w:rsidR="00A757F6">
        <w:rPr>
          <w:rFonts w:ascii="Arial" w:hAnsi="Arial" w:cs="Arial"/>
          <w:lang w:val="en-GB"/>
        </w:rPr>
        <w:t xml:space="preserve">a </w:t>
      </w:r>
      <w:r>
        <w:rPr>
          <w:rFonts w:ascii="Arial" w:hAnsi="Arial" w:cs="Arial"/>
          <w:lang w:val="en-GB"/>
        </w:rPr>
        <w:t>civil partnership has been registered in the terms of the Act.</w:t>
      </w:r>
    </w:p>
    <w:p w14:paraId="23688472" w14:textId="77777777" w:rsidR="00893427" w:rsidRPr="00C93039" w:rsidRDefault="00893427" w:rsidP="00C93039">
      <w:pPr>
        <w:spacing w:line="360" w:lineRule="auto"/>
        <w:rPr>
          <w:rFonts w:ascii="Arial" w:hAnsi="Arial" w:cs="Arial"/>
          <w:lang w:val="en-GB"/>
        </w:rPr>
      </w:pPr>
    </w:p>
    <w:p w14:paraId="7BADD670" w14:textId="77777777" w:rsidR="00C93039" w:rsidRPr="00C93039" w:rsidRDefault="009D4052" w:rsidP="00C93039">
      <w:pPr>
        <w:overflowPunct w:val="0"/>
        <w:autoSpaceDE w:val="0"/>
        <w:autoSpaceDN w:val="0"/>
        <w:adjustRightInd w:val="0"/>
        <w:spacing w:line="360" w:lineRule="auto"/>
        <w:ind w:left="567" w:hanging="567"/>
        <w:textAlignment w:val="baseline"/>
        <w:rPr>
          <w:rFonts w:ascii="Arial" w:hAnsi="Arial" w:cs="Arial"/>
          <w:b/>
          <w:lang w:val="en-GB" w:eastAsia="zh-CN"/>
        </w:rPr>
      </w:pPr>
      <w:r>
        <w:rPr>
          <w:rFonts w:ascii="Arial" w:hAnsi="Arial" w:cs="Arial"/>
          <w:b/>
          <w:lang w:val="en-GB" w:eastAsia="zh-CN"/>
        </w:rPr>
        <w:t>10</w:t>
      </w:r>
      <w:r w:rsidR="00C93039">
        <w:rPr>
          <w:rFonts w:ascii="Arial" w:hAnsi="Arial" w:cs="Arial"/>
          <w:b/>
          <w:lang w:val="en-GB" w:eastAsia="zh-CN"/>
        </w:rPr>
        <w:t>.</w:t>
      </w:r>
      <w:r w:rsidR="00C93039">
        <w:rPr>
          <w:rFonts w:ascii="Arial" w:hAnsi="Arial" w:cs="Arial"/>
          <w:b/>
          <w:lang w:val="en-GB" w:eastAsia="zh-CN"/>
        </w:rPr>
        <w:tab/>
      </w:r>
      <w:r w:rsidR="00C93039" w:rsidRPr="00C93039">
        <w:rPr>
          <w:rFonts w:ascii="Arial" w:hAnsi="Arial" w:cs="Arial"/>
          <w:b/>
          <w:u w:val="single"/>
          <w:lang w:val="en-GB" w:eastAsia="zh-CN"/>
        </w:rPr>
        <w:t>Equalities and Diversity</w:t>
      </w:r>
      <w:r w:rsidR="00C93039">
        <w:rPr>
          <w:rFonts w:ascii="Arial" w:hAnsi="Arial" w:cs="Arial"/>
          <w:b/>
          <w:lang w:val="en-GB" w:eastAsia="zh-CN"/>
        </w:rPr>
        <w:t xml:space="preserve"> </w:t>
      </w:r>
    </w:p>
    <w:p w14:paraId="59779AE7" w14:textId="77777777" w:rsidR="003B11BF" w:rsidRDefault="003B11BF" w:rsidP="003B11BF">
      <w:pPr>
        <w:spacing w:line="360" w:lineRule="auto"/>
        <w:rPr>
          <w:rFonts w:ascii="Arial" w:hAnsi="Arial" w:cs="Arial"/>
          <w:lang w:val="en-GB" w:eastAsia="zh-CN"/>
        </w:rPr>
      </w:pPr>
    </w:p>
    <w:p w14:paraId="31AE676C" w14:textId="358564C5" w:rsidR="003B11BF" w:rsidRDefault="003B11BF" w:rsidP="003B11BF">
      <w:pPr>
        <w:spacing w:line="360" w:lineRule="auto"/>
        <w:rPr>
          <w:rFonts w:ascii="Arial" w:eastAsia="Arial" w:hAnsi="Arial"/>
        </w:rPr>
      </w:pPr>
      <w:r w:rsidRPr="58A7F65F">
        <w:rPr>
          <w:rFonts w:ascii="Arial" w:eastAsia="Arial" w:hAnsi="Arial" w:cs="Arial"/>
        </w:rPr>
        <w:t xml:space="preserve">In developing and implementing policies covering all aspects of our work, Angus Housing Association will ensure that our strong principles and commitment to equality of opportunity are evident. In line with the Housing (Scotland) Act 2001 the Association operates in a manner which encourages equal opportunities and observes the equal opportunity requirements described in Section 106 of the Act. </w:t>
      </w:r>
      <w:r w:rsidRPr="58A7F65F">
        <w:rPr>
          <w:rFonts w:ascii="Arial" w:eastAsia="Arial" w:hAnsi="Arial" w:cs="Arial"/>
        </w:rPr>
        <w:lastRenderedPageBreak/>
        <w:t>The Association also takes account of all applicable legislation, including the Equality Act 2010 and relevant Codes of</w:t>
      </w:r>
      <w:r>
        <w:rPr>
          <w:rFonts w:ascii="Arial" w:eastAsia="Arial" w:hAnsi="Arial" w:cs="Arial"/>
        </w:rPr>
        <w:t xml:space="preserve"> </w:t>
      </w:r>
      <w:r w:rsidRPr="58A7F65F">
        <w:rPr>
          <w:rFonts w:ascii="Arial" w:eastAsia="Arial" w:hAnsi="Arial" w:cs="Arial"/>
        </w:rPr>
        <w:t>Practice issued by the Equality and Human Rights Commission -</w:t>
      </w:r>
    </w:p>
    <w:p w14:paraId="1AD9435E" w14:textId="77777777" w:rsidR="003B11BF" w:rsidRDefault="003B11BF" w:rsidP="003B11BF">
      <w:pPr>
        <w:spacing w:line="360" w:lineRule="auto"/>
        <w:rPr>
          <w:rFonts w:ascii="Arial" w:eastAsia="Arial" w:hAnsi="Arial" w:cs="Arial"/>
        </w:rPr>
      </w:pPr>
    </w:p>
    <w:p w14:paraId="0AC2652B" w14:textId="69DE7C76" w:rsidR="003B11BF" w:rsidRDefault="003B11BF" w:rsidP="003B11BF">
      <w:pPr>
        <w:spacing w:line="360" w:lineRule="auto"/>
        <w:rPr>
          <w:rFonts w:ascii="Arial" w:eastAsia="Arial" w:hAnsi="Arial"/>
        </w:rPr>
      </w:pPr>
      <w:r w:rsidRPr="58A7F65F">
        <w:rPr>
          <w:rFonts w:ascii="Arial" w:eastAsia="Arial" w:hAnsi="Arial" w:cs="Arial"/>
        </w:rPr>
        <w:t xml:space="preserve">Our Policy </w:t>
      </w:r>
      <w:proofErr w:type="spellStart"/>
      <w:r w:rsidRPr="58A7F65F">
        <w:rPr>
          <w:rFonts w:ascii="Arial" w:eastAsia="Arial" w:hAnsi="Arial" w:cs="Arial"/>
        </w:rPr>
        <w:t>recognises</w:t>
      </w:r>
      <w:proofErr w:type="spellEnd"/>
      <w:r w:rsidRPr="58A7F65F">
        <w:rPr>
          <w:rFonts w:ascii="Arial" w:eastAsia="Arial" w:hAnsi="Arial" w:cs="Arial"/>
        </w:rPr>
        <w:t xml:space="preserve"> the protected characteristics as defined by the Equalities Act </w:t>
      </w:r>
    </w:p>
    <w:tbl>
      <w:tblPr>
        <w:tblW w:w="0" w:type="auto"/>
        <w:tblLayout w:type="fixed"/>
        <w:tblLook w:val="04A0" w:firstRow="1" w:lastRow="0" w:firstColumn="1" w:lastColumn="0" w:noHBand="0" w:noVBand="1"/>
      </w:tblPr>
      <w:tblGrid>
        <w:gridCol w:w="4875"/>
        <w:gridCol w:w="4140"/>
      </w:tblGrid>
      <w:tr w:rsidR="003B11BF" w14:paraId="0CCAC13D" w14:textId="77777777" w:rsidTr="00573768">
        <w:trPr>
          <w:trHeight w:val="300"/>
        </w:trPr>
        <w:tc>
          <w:tcPr>
            <w:tcW w:w="4875" w:type="dxa"/>
            <w:tcMar>
              <w:left w:w="108" w:type="dxa"/>
              <w:right w:w="108" w:type="dxa"/>
            </w:tcMar>
          </w:tcPr>
          <w:p w14:paraId="5EAFDF50" w14:textId="77777777" w:rsidR="003B11BF" w:rsidRDefault="003B11BF" w:rsidP="003B11BF">
            <w:pPr>
              <w:spacing w:line="360" w:lineRule="auto"/>
              <w:rPr>
                <w:rFonts w:cs="Calibri"/>
              </w:rPr>
            </w:pPr>
          </w:p>
          <w:p w14:paraId="1C16DED9"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Age</w:t>
            </w:r>
          </w:p>
          <w:p w14:paraId="346FFC0E"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Disability</w:t>
            </w:r>
          </w:p>
          <w:p w14:paraId="47257B07"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Gender reassignment</w:t>
            </w:r>
          </w:p>
          <w:p w14:paraId="03EDA280"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Marriage and civil partnership</w:t>
            </w:r>
          </w:p>
          <w:p w14:paraId="4E7FABA4"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Pregnancy and maternity</w:t>
            </w:r>
          </w:p>
        </w:tc>
        <w:tc>
          <w:tcPr>
            <w:tcW w:w="4140" w:type="dxa"/>
            <w:tcMar>
              <w:left w:w="108" w:type="dxa"/>
              <w:right w:w="108" w:type="dxa"/>
            </w:tcMar>
          </w:tcPr>
          <w:p w14:paraId="12E893B0" w14:textId="77777777" w:rsidR="003B11BF" w:rsidRDefault="003B11BF" w:rsidP="003B11BF">
            <w:pPr>
              <w:spacing w:line="360" w:lineRule="auto"/>
            </w:pPr>
            <w:r w:rsidRPr="58A7F65F">
              <w:rPr>
                <w:rFonts w:ascii="Calibri" w:eastAsia="Calibri" w:hAnsi="Calibri" w:cs="Calibri"/>
              </w:rPr>
              <w:t xml:space="preserve"> </w:t>
            </w:r>
          </w:p>
          <w:p w14:paraId="7F7689FF"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Race</w:t>
            </w:r>
          </w:p>
          <w:p w14:paraId="0198EB49"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Religion or belief</w:t>
            </w:r>
          </w:p>
          <w:p w14:paraId="6286F582"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Gender</w:t>
            </w:r>
          </w:p>
          <w:p w14:paraId="6E855996" w14:textId="77777777" w:rsidR="003B11BF" w:rsidRDefault="003B11BF" w:rsidP="003B11BF">
            <w:pPr>
              <w:pStyle w:val="ListParagraph"/>
              <w:numPr>
                <w:ilvl w:val="0"/>
                <w:numId w:val="22"/>
              </w:numPr>
              <w:suppressAutoHyphens/>
              <w:autoSpaceDN w:val="0"/>
              <w:spacing w:line="360" w:lineRule="auto"/>
              <w:textAlignment w:val="baseline"/>
              <w:rPr>
                <w:rFonts w:ascii="Arial" w:eastAsia="Arial" w:hAnsi="Arial"/>
              </w:rPr>
            </w:pPr>
            <w:r w:rsidRPr="58A7F65F">
              <w:rPr>
                <w:rFonts w:ascii="Arial" w:eastAsia="Arial" w:hAnsi="Arial" w:cs="Arial"/>
              </w:rPr>
              <w:t>Sexual orientation</w:t>
            </w:r>
          </w:p>
        </w:tc>
      </w:tr>
    </w:tbl>
    <w:p w14:paraId="5963EA72" w14:textId="77777777" w:rsidR="003B11BF" w:rsidRPr="005811D1" w:rsidRDefault="003B11BF" w:rsidP="003B11BF">
      <w:pPr>
        <w:overflowPunct w:val="0"/>
        <w:autoSpaceDE w:val="0"/>
        <w:adjustRightInd w:val="0"/>
        <w:spacing w:line="360" w:lineRule="auto"/>
        <w:rPr>
          <w:rFonts w:ascii="Arial" w:hAnsi="Arial"/>
          <w:lang w:eastAsia="zh-CN"/>
        </w:rPr>
      </w:pPr>
    </w:p>
    <w:p w14:paraId="6925F479" w14:textId="77777777" w:rsidR="003B11BF" w:rsidRPr="002F59FA" w:rsidRDefault="003B11BF" w:rsidP="003B11BF">
      <w:pPr>
        <w:overflowPunct w:val="0"/>
        <w:autoSpaceDE w:val="0"/>
        <w:adjustRightInd w:val="0"/>
        <w:spacing w:line="360" w:lineRule="auto"/>
        <w:rPr>
          <w:rFonts w:ascii="Arial" w:hAnsi="Arial"/>
          <w:lang w:eastAsia="zh-CN"/>
        </w:rPr>
      </w:pPr>
      <w:r w:rsidRPr="58A7F65F">
        <w:rPr>
          <w:rFonts w:ascii="Arial" w:hAnsi="Arial"/>
          <w:lang w:eastAsia="zh-CN"/>
        </w:rPr>
        <w:t>In line with this commitment to equal opportunities, this policy and any summary or information leaflet can be made available free of charge in a variety of formats including large print, translated into another language or on audio tape.</w:t>
      </w:r>
    </w:p>
    <w:p w14:paraId="40B9C111" w14:textId="77777777" w:rsidR="00C93039" w:rsidRPr="00C93039" w:rsidRDefault="00C93039" w:rsidP="00C93039">
      <w:pPr>
        <w:overflowPunct w:val="0"/>
        <w:autoSpaceDE w:val="0"/>
        <w:autoSpaceDN w:val="0"/>
        <w:adjustRightInd w:val="0"/>
        <w:spacing w:line="360" w:lineRule="auto"/>
        <w:textAlignment w:val="baseline"/>
        <w:rPr>
          <w:rFonts w:ascii="Arial" w:hAnsi="Arial" w:cs="Arial"/>
          <w:lang w:val="en-GB" w:eastAsia="zh-CN"/>
        </w:rPr>
      </w:pPr>
    </w:p>
    <w:p w14:paraId="31308BB5" w14:textId="77777777" w:rsidR="00C93039" w:rsidRPr="00C93039" w:rsidRDefault="00641950" w:rsidP="00C93039">
      <w:pPr>
        <w:overflowPunct w:val="0"/>
        <w:autoSpaceDE w:val="0"/>
        <w:autoSpaceDN w:val="0"/>
        <w:adjustRightInd w:val="0"/>
        <w:spacing w:line="360" w:lineRule="auto"/>
        <w:ind w:left="567" w:hanging="567"/>
        <w:textAlignment w:val="baseline"/>
        <w:rPr>
          <w:rFonts w:ascii="Arial" w:hAnsi="Arial" w:cs="Arial"/>
          <w:b/>
          <w:lang w:val="en-GB" w:eastAsia="zh-CN"/>
        </w:rPr>
      </w:pPr>
      <w:r>
        <w:rPr>
          <w:rFonts w:ascii="Arial" w:hAnsi="Arial" w:cs="Arial"/>
          <w:b/>
          <w:lang w:val="en-GB" w:eastAsia="zh-CN"/>
        </w:rPr>
        <w:t>11</w:t>
      </w:r>
      <w:r w:rsidR="00C93039" w:rsidRPr="00C93039">
        <w:rPr>
          <w:rFonts w:ascii="Arial" w:hAnsi="Arial" w:cs="Arial"/>
          <w:b/>
          <w:lang w:val="en-GB" w:eastAsia="zh-CN"/>
        </w:rPr>
        <w:t xml:space="preserve">. </w:t>
      </w:r>
      <w:r w:rsidR="00C93039" w:rsidRPr="00C93039">
        <w:rPr>
          <w:rFonts w:ascii="Arial" w:hAnsi="Arial" w:cs="Arial"/>
          <w:b/>
          <w:lang w:val="en-GB" w:eastAsia="zh-CN"/>
        </w:rPr>
        <w:tab/>
      </w:r>
      <w:r w:rsidR="00C93039" w:rsidRPr="00C93039">
        <w:rPr>
          <w:rFonts w:ascii="Arial" w:hAnsi="Arial" w:cs="Arial"/>
          <w:b/>
          <w:u w:val="single"/>
          <w:lang w:val="en-GB" w:eastAsia="zh-CN"/>
        </w:rPr>
        <w:t>Access to Policy Information</w:t>
      </w:r>
      <w:r w:rsidR="00C93039">
        <w:rPr>
          <w:rFonts w:ascii="Arial" w:hAnsi="Arial" w:cs="Arial"/>
          <w:b/>
          <w:lang w:val="en-GB" w:eastAsia="zh-CN"/>
        </w:rPr>
        <w:t xml:space="preserve"> </w:t>
      </w:r>
    </w:p>
    <w:p w14:paraId="2E6C7320" w14:textId="77777777" w:rsidR="00C93039" w:rsidRPr="00C93039" w:rsidRDefault="00C93039" w:rsidP="00C93039">
      <w:pPr>
        <w:overflowPunct w:val="0"/>
        <w:autoSpaceDE w:val="0"/>
        <w:autoSpaceDN w:val="0"/>
        <w:adjustRightInd w:val="0"/>
        <w:spacing w:line="360" w:lineRule="auto"/>
        <w:textAlignment w:val="baseline"/>
        <w:rPr>
          <w:rFonts w:ascii="Arial" w:hAnsi="Arial" w:cs="Arial"/>
          <w:lang w:val="en-GB" w:eastAsia="zh-CN"/>
        </w:rPr>
      </w:pPr>
    </w:p>
    <w:p w14:paraId="11895A56" w14:textId="77777777" w:rsidR="00C93039" w:rsidRDefault="00C93039" w:rsidP="0072713E">
      <w:pPr>
        <w:overflowPunct w:val="0"/>
        <w:autoSpaceDE w:val="0"/>
        <w:autoSpaceDN w:val="0"/>
        <w:adjustRightInd w:val="0"/>
        <w:spacing w:line="360" w:lineRule="auto"/>
        <w:textAlignment w:val="baseline"/>
        <w:rPr>
          <w:rFonts w:ascii="Arial" w:hAnsi="Arial" w:cs="Arial"/>
          <w:lang w:val="en-GB" w:eastAsia="zh-CN"/>
        </w:rPr>
      </w:pPr>
      <w:r w:rsidRPr="00554F20">
        <w:rPr>
          <w:rFonts w:ascii="Arial" w:hAnsi="Arial" w:cs="Arial"/>
          <w:lang w:val="en-GB" w:eastAsia="zh-CN"/>
        </w:rPr>
        <w:t xml:space="preserve">The Association will ensure that its policies are made fully available to all tenants, applicants, members, </w:t>
      </w:r>
      <w:proofErr w:type="gramStart"/>
      <w:r w:rsidRPr="00554F20">
        <w:rPr>
          <w:rFonts w:ascii="Arial" w:hAnsi="Arial" w:cs="Arial"/>
          <w:lang w:val="en-GB" w:eastAsia="zh-CN"/>
        </w:rPr>
        <w:t>persons</w:t>
      </w:r>
      <w:proofErr w:type="gramEnd"/>
      <w:r w:rsidRPr="00554F20">
        <w:rPr>
          <w:rFonts w:ascii="Arial" w:hAnsi="Arial" w:cs="Arial"/>
          <w:lang w:val="en-GB" w:eastAsia="zh-CN"/>
        </w:rPr>
        <w:t xml:space="preserve"> or groups within its areas. Every effort will be made by </w:t>
      </w:r>
      <w:r w:rsidR="00554F20" w:rsidRPr="00554F20">
        <w:rPr>
          <w:rFonts w:ascii="Arial" w:hAnsi="Arial" w:cs="Arial"/>
          <w:lang w:val="en-GB" w:eastAsia="zh-CN"/>
        </w:rPr>
        <w:t>the Association t</w:t>
      </w:r>
      <w:r w:rsidRPr="00554F20">
        <w:rPr>
          <w:rFonts w:ascii="Arial" w:hAnsi="Arial" w:cs="Arial"/>
          <w:lang w:val="en-GB" w:eastAsia="zh-CN"/>
        </w:rPr>
        <w:t xml:space="preserve">o support access and promote awareness of its policies by developing summaries, </w:t>
      </w:r>
      <w:proofErr w:type="gramStart"/>
      <w:r w:rsidRPr="00554F20">
        <w:rPr>
          <w:rFonts w:ascii="Arial" w:hAnsi="Arial" w:cs="Arial"/>
          <w:lang w:val="en-GB" w:eastAsia="zh-CN"/>
        </w:rPr>
        <w:t>guidance</w:t>
      </w:r>
      <w:proofErr w:type="gramEnd"/>
      <w:r w:rsidRPr="00554F20">
        <w:rPr>
          <w:rFonts w:ascii="Arial" w:hAnsi="Arial" w:cs="Arial"/>
          <w:lang w:val="en-GB" w:eastAsia="zh-CN"/>
        </w:rPr>
        <w:t xml:space="preserve"> and information leaflets as appropriate.</w:t>
      </w:r>
    </w:p>
    <w:p w14:paraId="5D5B4233" w14:textId="77777777" w:rsidR="00554F20" w:rsidRPr="00554F20" w:rsidRDefault="00554F20" w:rsidP="00C93039">
      <w:pPr>
        <w:overflowPunct w:val="0"/>
        <w:autoSpaceDE w:val="0"/>
        <w:autoSpaceDN w:val="0"/>
        <w:adjustRightInd w:val="0"/>
        <w:spacing w:line="360" w:lineRule="auto"/>
        <w:ind w:left="567"/>
        <w:textAlignment w:val="baseline"/>
        <w:rPr>
          <w:rFonts w:ascii="Arial" w:hAnsi="Arial" w:cs="Arial"/>
          <w:lang w:val="en-GB" w:eastAsia="zh-CN"/>
        </w:rPr>
      </w:pPr>
    </w:p>
    <w:p w14:paraId="110777C5" w14:textId="77777777" w:rsidR="00554F20" w:rsidRPr="00554F20" w:rsidRDefault="00641950" w:rsidP="00554F20">
      <w:pPr>
        <w:overflowPunct w:val="0"/>
        <w:autoSpaceDE w:val="0"/>
        <w:autoSpaceDN w:val="0"/>
        <w:adjustRightInd w:val="0"/>
        <w:spacing w:line="360" w:lineRule="auto"/>
        <w:ind w:left="567" w:hanging="567"/>
        <w:textAlignment w:val="baseline"/>
        <w:rPr>
          <w:rFonts w:ascii="Arial" w:hAnsi="Arial" w:cs="Arial"/>
          <w:b/>
          <w:u w:val="single"/>
          <w:lang w:val="en-GB" w:eastAsia="zh-CN"/>
        </w:rPr>
      </w:pPr>
      <w:r>
        <w:rPr>
          <w:rFonts w:ascii="Arial" w:hAnsi="Arial" w:cs="Arial"/>
          <w:b/>
          <w:lang w:val="en-GB" w:eastAsia="zh-CN"/>
        </w:rPr>
        <w:t>12</w:t>
      </w:r>
      <w:r w:rsidR="00554F20" w:rsidRPr="00554F20">
        <w:rPr>
          <w:rFonts w:ascii="Arial" w:hAnsi="Arial" w:cs="Arial"/>
          <w:b/>
          <w:lang w:val="en-GB" w:eastAsia="zh-CN"/>
        </w:rPr>
        <w:t>.</w:t>
      </w:r>
      <w:r w:rsidR="00554F20" w:rsidRPr="00554F20">
        <w:rPr>
          <w:rFonts w:ascii="Arial" w:hAnsi="Arial" w:cs="Arial"/>
          <w:b/>
          <w:lang w:val="en-GB" w:eastAsia="zh-CN"/>
        </w:rPr>
        <w:tab/>
      </w:r>
      <w:r w:rsidR="00554F20" w:rsidRPr="00554F20">
        <w:rPr>
          <w:rFonts w:ascii="Arial" w:hAnsi="Arial" w:cs="Arial"/>
          <w:b/>
          <w:u w:val="single"/>
          <w:lang w:val="en-GB" w:eastAsia="zh-CN"/>
        </w:rPr>
        <w:t xml:space="preserve">Risk Management and Assessment </w:t>
      </w:r>
    </w:p>
    <w:p w14:paraId="668A80DA" w14:textId="77777777" w:rsidR="00554F20" w:rsidRPr="00554F20" w:rsidRDefault="00554F20" w:rsidP="00554F20">
      <w:pPr>
        <w:overflowPunct w:val="0"/>
        <w:autoSpaceDE w:val="0"/>
        <w:autoSpaceDN w:val="0"/>
        <w:adjustRightInd w:val="0"/>
        <w:spacing w:line="360" w:lineRule="auto"/>
        <w:ind w:left="567" w:hanging="567"/>
        <w:textAlignment w:val="baseline"/>
        <w:rPr>
          <w:rFonts w:ascii="Arial" w:hAnsi="Arial" w:cs="Arial"/>
          <w:lang w:val="en-GB" w:eastAsia="zh-CN"/>
        </w:rPr>
      </w:pPr>
    </w:p>
    <w:p w14:paraId="6A7E258D" w14:textId="77777777" w:rsidR="00554F20" w:rsidRPr="00554F20" w:rsidRDefault="00554F20" w:rsidP="0072713E">
      <w:pPr>
        <w:overflowPunct w:val="0"/>
        <w:autoSpaceDE w:val="0"/>
        <w:autoSpaceDN w:val="0"/>
        <w:adjustRightInd w:val="0"/>
        <w:spacing w:line="360" w:lineRule="auto"/>
        <w:textAlignment w:val="baseline"/>
        <w:rPr>
          <w:rFonts w:ascii="Arial" w:hAnsi="Arial" w:cs="Arial"/>
          <w:lang w:val="en-GB" w:eastAsia="zh-CN"/>
        </w:rPr>
      </w:pPr>
      <w:r w:rsidRPr="00554F20">
        <w:rPr>
          <w:rFonts w:ascii="Arial" w:hAnsi="Arial" w:cs="Arial"/>
          <w:lang w:val="en-GB" w:eastAsia="zh-CN"/>
        </w:rPr>
        <w:t xml:space="preserve">The Association has a detailed Risk Management Policy in </w:t>
      </w:r>
      <w:proofErr w:type="gramStart"/>
      <w:r w:rsidRPr="00554F20">
        <w:rPr>
          <w:rFonts w:ascii="Arial" w:hAnsi="Arial" w:cs="Arial"/>
          <w:lang w:val="en-GB" w:eastAsia="zh-CN"/>
        </w:rPr>
        <w:t>place</w:t>
      </w:r>
      <w:proofErr w:type="gramEnd"/>
      <w:r w:rsidRPr="00554F20">
        <w:rPr>
          <w:rFonts w:ascii="Arial" w:hAnsi="Arial" w:cs="Arial"/>
          <w:lang w:val="en-GB" w:eastAsia="zh-CN"/>
        </w:rPr>
        <w:t xml:space="preserve"> and it will assess the risks to the Association in the implementation of each of its policies as part of its risk management strategy.</w:t>
      </w:r>
    </w:p>
    <w:p w14:paraId="047383D1" w14:textId="77777777" w:rsidR="00C93039" w:rsidRDefault="00C93039" w:rsidP="005E6878">
      <w:pPr>
        <w:spacing w:line="360" w:lineRule="auto"/>
        <w:rPr>
          <w:rFonts w:ascii="Arial" w:hAnsi="Arial" w:cs="Arial"/>
          <w:b/>
          <w:lang w:val="en-GB"/>
        </w:rPr>
      </w:pPr>
    </w:p>
    <w:p w14:paraId="38C34045" w14:textId="77777777" w:rsidR="003B11BF" w:rsidRDefault="003B11BF" w:rsidP="005E6878">
      <w:pPr>
        <w:spacing w:line="360" w:lineRule="auto"/>
        <w:rPr>
          <w:rFonts w:ascii="Arial" w:hAnsi="Arial" w:cs="Arial"/>
          <w:b/>
          <w:lang w:val="en-GB"/>
        </w:rPr>
      </w:pPr>
    </w:p>
    <w:p w14:paraId="5E94AA7D" w14:textId="77777777" w:rsidR="00893427" w:rsidRPr="00893427" w:rsidRDefault="00641950" w:rsidP="005E6878">
      <w:pPr>
        <w:spacing w:line="360" w:lineRule="auto"/>
        <w:rPr>
          <w:rFonts w:ascii="Arial" w:hAnsi="Arial" w:cs="Arial"/>
          <w:b/>
          <w:lang w:val="en-GB"/>
        </w:rPr>
      </w:pPr>
      <w:r>
        <w:rPr>
          <w:rFonts w:ascii="Arial" w:hAnsi="Arial" w:cs="Arial"/>
          <w:b/>
          <w:lang w:val="en-GB"/>
        </w:rPr>
        <w:t>13</w:t>
      </w:r>
      <w:r w:rsidR="005E6878">
        <w:rPr>
          <w:rFonts w:ascii="Arial" w:hAnsi="Arial" w:cs="Arial"/>
          <w:b/>
          <w:lang w:val="en-GB"/>
        </w:rPr>
        <w:t>.</w:t>
      </w:r>
      <w:r w:rsidR="005E6878">
        <w:rPr>
          <w:rFonts w:ascii="Arial" w:hAnsi="Arial" w:cs="Arial"/>
          <w:b/>
          <w:lang w:val="en-GB"/>
        </w:rPr>
        <w:tab/>
      </w:r>
      <w:r w:rsidR="00893427" w:rsidRPr="00A757F6">
        <w:rPr>
          <w:rFonts w:ascii="Arial" w:hAnsi="Arial" w:cs="Arial"/>
          <w:b/>
          <w:u w:val="single"/>
          <w:lang w:val="en-GB"/>
        </w:rPr>
        <w:t>Review</w:t>
      </w:r>
    </w:p>
    <w:p w14:paraId="085D54C8" w14:textId="77777777" w:rsidR="00893427" w:rsidRDefault="00893427" w:rsidP="00893427">
      <w:pPr>
        <w:spacing w:line="360" w:lineRule="auto"/>
        <w:ind w:left="360"/>
        <w:rPr>
          <w:rFonts w:ascii="Arial" w:hAnsi="Arial" w:cs="Arial"/>
          <w:lang w:val="en-GB"/>
        </w:rPr>
      </w:pPr>
    </w:p>
    <w:p w14:paraId="7F8A2830" w14:textId="77777777" w:rsidR="00812CA9" w:rsidRPr="00DE14A8" w:rsidRDefault="00DE14A8" w:rsidP="0072713E">
      <w:pPr>
        <w:autoSpaceDE w:val="0"/>
        <w:autoSpaceDN w:val="0"/>
        <w:adjustRightInd w:val="0"/>
        <w:spacing w:line="360" w:lineRule="auto"/>
        <w:rPr>
          <w:rFonts w:ascii="Arial" w:hAnsi="Arial" w:cs="Arial"/>
          <w:b/>
          <w:u w:val="single"/>
          <w:lang w:val="en-GB"/>
        </w:rPr>
      </w:pPr>
      <w:r w:rsidRPr="00DE14A8">
        <w:rPr>
          <w:rFonts w:ascii="Arial" w:hAnsi="Arial" w:cs="Arial"/>
        </w:rPr>
        <w:lastRenderedPageBreak/>
        <w:t xml:space="preserve">This policy will be reviewed </w:t>
      </w:r>
      <w:r w:rsidR="009C7532">
        <w:rPr>
          <w:rFonts w:ascii="Arial" w:hAnsi="Arial" w:cs="Arial"/>
        </w:rPr>
        <w:t>within 4</w:t>
      </w:r>
      <w:r w:rsidRPr="00DE14A8">
        <w:rPr>
          <w:rFonts w:ascii="Arial" w:hAnsi="Arial" w:cs="Arial"/>
        </w:rPr>
        <w:t xml:space="preserve"> years from the date of implementation, which will be the date the policy is approved by the </w:t>
      </w:r>
      <w:r w:rsidR="000D5D90">
        <w:rPr>
          <w:rFonts w:ascii="Arial" w:hAnsi="Arial" w:cs="Arial"/>
        </w:rPr>
        <w:t xml:space="preserve">Committee </w:t>
      </w:r>
      <w:r w:rsidRPr="00DE14A8">
        <w:rPr>
          <w:rFonts w:ascii="Arial" w:hAnsi="Arial" w:cs="Arial"/>
        </w:rPr>
        <w:t>of Management or earlier if deemed appropriate.</w:t>
      </w:r>
    </w:p>
    <w:sectPr w:rsidR="00812CA9" w:rsidRPr="00DE14A8" w:rsidSect="00812CA9">
      <w:pgSz w:w="12240" w:h="15840"/>
      <w:pgMar w:top="851" w:right="1797"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onaco">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005"/>
    <w:multiLevelType w:val="hybridMultilevel"/>
    <w:tmpl w:val="0F48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309B"/>
    <w:multiLevelType w:val="multilevel"/>
    <w:tmpl w:val="C4C43F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0D2C0A"/>
    <w:multiLevelType w:val="multilevel"/>
    <w:tmpl w:val="5002C0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C0414"/>
    <w:multiLevelType w:val="multilevel"/>
    <w:tmpl w:val="28E2B4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741E13"/>
    <w:multiLevelType w:val="hybridMultilevel"/>
    <w:tmpl w:val="E9EA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E5454"/>
    <w:multiLevelType w:val="hybridMultilevel"/>
    <w:tmpl w:val="53540CE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D91CFE"/>
    <w:multiLevelType w:val="hybridMultilevel"/>
    <w:tmpl w:val="EE583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57DB7"/>
    <w:multiLevelType w:val="hybridMultilevel"/>
    <w:tmpl w:val="80165460"/>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A356774"/>
    <w:multiLevelType w:val="hybridMultilevel"/>
    <w:tmpl w:val="3E6E7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D4D57"/>
    <w:multiLevelType w:val="singleLevel"/>
    <w:tmpl w:val="6C7C65E4"/>
    <w:lvl w:ilvl="0">
      <w:start w:val="1"/>
      <w:numFmt w:val="decimal"/>
      <w:lvlText w:val="%1."/>
      <w:lvlJc w:val="left"/>
      <w:pPr>
        <w:tabs>
          <w:tab w:val="num" w:pos="570"/>
        </w:tabs>
        <w:ind w:left="570" w:hanging="570"/>
      </w:pPr>
      <w:rPr>
        <w:rFonts w:hint="default"/>
      </w:rPr>
    </w:lvl>
  </w:abstractNum>
  <w:abstractNum w:abstractNumId="10" w15:restartNumberingAfterBreak="0">
    <w:nsid w:val="384029FF"/>
    <w:multiLevelType w:val="hybridMultilevel"/>
    <w:tmpl w:val="A836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32B2"/>
    <w:multiLevelType w:val="hybridMultilevel"/>
    <w:tmpl w:val="1740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47A56"/>
    <w:multiLevelType w:val="hybridMultilevel"/>
    <w:tmpl w:val="294C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461F89"/>
    <w:multiLevelType w:val="hybridMultilevel"/>
    <w:tmpl w:val="FCAE4F3A"/>
    <w:lvl w:ilvl="0" w:tplc="43D4952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2D66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A70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DA04CA"/>
    <w:multiLevelType w:val="hybridMultilevel"/>
    <w:tmpl w:val="8A9C17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6C3556"/>
    <w:multiLevelType w:val="hybridMultilevel"/>
    <w:tmpl w:val="D8466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81691"/>
    <w:multiLevelType w:val="multilevel"/>
    <w:tmpl w:val="FFFFFFFF"/>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3020B3"/>
    <w:multiLevelType w:val="hybridMultilevel"/>
    <w:tmpl w:val="1FB0107E"/>
    <w:lvl w:ilvl="0" w:tplc="2138B2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BC86B5D"/>
    <w:multiLevelType w:val="hybridMultilevel"/>
    <w:tmpl w:val="E1E00672"/>
    <w:lvl w:ilvl="0" w:tplc="C1A469A6">
      <w:start w:val="1"/>
      <w:numFmt w:val="decimal"/>
      <w:lvlText w:val="%1."/>
      <w:lvlJc w:val="left"/>
      <w:pPr>
        <w:tabs>
          <w:tab w:val="num" w:pos="1080"/>
        </w:tabs>
        <w:ind w:left="1080" w:hanging="720"/>
      </w:pPr>
      <w:rPr>
        <w:rFonts w:hint="default"/>
      </w:rPr>
    </w:lvl>
    <w:lvl w:ilvl="1" w:tplc="7714B566">
      <w:numFmt w:val="none"/>
      <w:lvlText w:val=""/>
      <w:lvlJc w:val="left"/>
      <w:pPr>
        <w:tabs>
          <w:tab w:val="num" w:pos="360"/>
        </w:tabs>
      </w:pPr>
    </w:lvl>
    <w:lvl w:ilvl="2" w:tplc="7C32292E">
      <w:numFmt w:val="none"/>
      <w:lvlText w:val=""/>
      <w:lvlJc w:val="left"/>
      <w:pPr>
        <w:tabs>
          <w:tab w:val="num" w:pos="360"/>
        </w:tabs>
      </w:pPr>
    </w:lvl>
    <w:lvl w:ilvl="3" w:tplc="2E20FF0E">
      <w:numFmt w:val="none"/>
      <w:lvlText w:val=""/>
      <w:lvlJc w:val="left"/>
      <w:pPr>
        <w:tabs>
          <w:tab w:val="num" w:pos="360"/>
        </w:tabs>
      </w:pPr>
    </w:lvl>
    <w:lvl w:ilvl="4" w:tplc="734CA38A">
      <w:numFmt w:val="none"/>
      <w:lvlText w:val=""/>
      <w:lvlJc w:val="left"/>
      <w:pPr>
        <w:tabs>
          <w:tab w:val="num" w:pos="360"/>
        </w:tabs>
      </w:pPr>
    </w:lvl>
    <w:lvl w:ilvl="5" w:tplc="896EC178">
      <w:numFmt w:val="none"/>
      <w:lvlText w:val=""/>
      <w:lvlJc w:val="left"/>
      <w:pPr>
        <w:tabs>
          <w:tab w:val="num" w:pos="360"/>
        </w:tabs>
      </w:pPr>
    </w:lvl>
    <w:lvl w:ilvl="6" w:tplc="BA18D910">
      <w:numFmt w:val="none"/>
      <w:lvlText w:val=""/>
      <w:lvlJc w:val="left"/>
      <w:pPr>
        <w:tabs>
          <w:tab w:val="num" w:pos="360"/>
        </w:tabs>
      </w:pPr>
    </w:lvl>
    <w:lvl w:ilvl="7" w:tplc="BF90A44A">
      <w:numFmt w:val="none"/>
      <w:lvlText w:val=""/>
      <w:lvlJc w:val="left"/>
      <w:pPr>
        <w:tabs>
          <w:tab w:val="num" w:pos="360"/>
        </w:tabs>
      </w:pPr>
    </w:lvl>
    <w:lvl w:ilvl="8" w:tplc="51B602B6">
      <w:numFmt w:val="none"/>
      <w:lvlText w:val=""/>
      <w:lvlJc w:val="left"/>
      <w:pPr>
        <w:tabs>
          <w:tab w:val="num" w:pos="360"/>
        </w:tabs>
      </w:pPr>
    </w:lvl>
  </w:abstractNum>
  <w:abstractNum w:abstractNumId="21"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1749381759">
    <w:abstractNumId w:val="20"/>
  </w:num>
  <w:num w:numId="2" w16cid:durableId="1089543111">
    <w:abstractNumId w:val="5"/>
  </w:num>
  <w:num w:numId="3" w16cid:durableId="990016079">
    <w:abstractNumId w:val="16"/>
  </w:num>
  <w:num w:numId="4" w16cid:durableId="551580045">
    <w:abstractNumId w:val="2"/>
  </w:num>
  <w:num w:numId="5" w16cid:durableId="346298430">
    <w:abstractNumId w:val="1"/>
  </w:num>
  <w:num w:numId="6" w16cid:durableId="4600630">
    <w:abstractNumId w:val="3"/>
  </w:num>
  <w:num w:numId="7" w16cid:durableId="1495299167">
    <w:abstractNumId w:val="13"/>
  </w:num>
  <w:num w:numId="8" w16cid:durableId="1032926532">
    <w:abstractNumId w:val="9"/>
  </w:num>
  <w:num w:numId="9" w16cid:durableId="2046784872">
    <w:abstractNumId w:val="14"/>
  </w:num>
  <w:num w:numId="10" w16cid:durableId="222642007">
    <w:abstractNumId w:val="15"/>
  </w:num>
  <w:num w:numId="11" w16cid:durableId="1431663122">
    <w:abstractNumId w:val="7"/>
  </w:num>
  <w:num w:numId="12" w16cid:durableId="12805033">
    <w:abstractNumId w:val="6"/>
  </w:num>
  <w:num w:numId="13" w16cid:durableId="2077119888">
    <w:abstractNumId w:val="19"/>
  </w:num>
  <w:num w:numId="14" w16cid:durableId="1944728241">
    <w:abstractNumId w:val="17"/>
  </w:num>
  <w:num w:numId="15" w16cid:durableId="365105331">
    <w:abstractNumId w:val="0"/>
  </w:num>
  <w:num w:numId="16" w16cid:durableId="2054621470">
    <w:abstractNumId w:val="18"/>
  </w:num>
  <w:num w:numId="17" w16cid:durableId="1679456755">
    <w:abstractNumId w:val="10"/>
  </w:num>
  <w:num w:numId="18" w16cid:durableId="623732740">
    <w:abstractNumId w:val="12"/>
  </w:num>
  <w:num w:numId="19" w16cid:durableId="1659456641">
    <w:abstractNumId w:val="4"/>
  </w:num>
  <w:num w:numId="20" w16cid:durableId="530580785">
    <w:abstractNumId w:val="8"/>
  </w:num>
  <w:num w:numId="21" w16cid:durableId="662467399">
    <w:abstractNumId w:val="11"/>
  </w:num>
  <w:num w:numId="22" w16cid:durableId="18336452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49"/>
    <w:rsid w:val="00021FEB"/>
    <w:rsid w:val="00054049"/>
    <w:rsid w:val="00074D99"/>
    <w:rsid w:val="00083142"/>
    <w:rsid w:val="000C305B"/>
    <w:rsid w:val="000D5D90"/>
    <w:rsid w:val="000E67C3"/>
    <w:rsid w:val="001202D3"/>
    <w:rsid w:val="001207B2"/>
    <w:rsid w:val="00142D45"/>
    <w:rsid w:val="00190A3E"/>
    <w:rsid w:val="00192190"/>
    <w:rsid w:val="00195133"/>
    <w:rsid w:val="001D174A"/>
    <w:rsid w:val="0021568D"/>
    <w:rsid w:val="00294852"/>
    <w:rsid w:val="002B0301"/>
    <w:rsid w:val="002C0930"/>
    <w:rsid w:val="002D6E9E"/>
    <w:rsid w:val="002E0C77"/>
    <w:rsid w:val="002E3225"/>
    <w:rsid w:val="002E6567"/>
    <w:rsid w:val="00321F72"/>
    <w:rsid w:val="0033037B"/>
    <w:rsid w:val="0034587B"/>
    <w:rsid w:val="00374BB5"/>
    <w:rsid w:val="00387875"/>
    <w:rsid w:val="00397A5D"/>
    <w:rsid w:val="003A3E63"/>
    <w:rsid w:val="003B0944"/>
    <w:rsid w:val="003B11BF"/>
    <w:rsid w:val="004168AD"/>
    <w:rsid w:val="00417FBB"/>
    <w:rsid w:val="00431F0D"/>
    <w:rsid w:val="00440314"/>
    <w:rsid w:val="00447355"/>
    <w:rsid w:val="00452DB4"/>
    <w:rsid w:val="00460B8F"/>
    <w:rsid w:val="00490411"/>
    <w:rsid w:val="00495234"/>
    <w:rsid w:val="004C6B62"/>
    <w:rsid w:val="004E0BA8"/>
    <w:rsid w:val="004F2879"/>
    <w:rsid w:val="00554F20"/>
    <w:rsid w:val="005C3BA7"/>
    <w:rsid w:val="005D7437"/>
    <w:rsid w:val="005E6878"/>
    <w:rsid w:val="006248E3"/>
    <w:rsid w:val="00630CA9"/>
    <w:rsid w:val="00641950"/>
    <w:rsid w:val="0066155C"/>
    <w:rsid w:val="006857CA"/>
    <w:rsid w:val="006A66AB"/>
    <w:rsid w:val="006D5D9F"/>
    <w:rsid w:val="006F2B26"/>
    <w:rsid w:val="00700EE7"/>
    <w:rsid w:val="007250CE"/>
    <w:rsid w:val="0072713E"/>
    <w:rsid w:val="007340E7"/>
    <w:rsid w:val="00755607"/>
    <w:rsid w:val="0076156D"/>
    <w:rsid w:val="007746C1"/>
    <w:rsid w:val="0078016E"/>
    <w:rsid w:val="00787505"/>
    <w:rsid w:val="007A03A5"/>
    <w:rsid w:val="007B197B"/>
    <w:rsid w:val="007B795D"/>
    <w:rsid w:val="007F7C8F"/>
    <w:rsid w:val="0080171F"/>
    <w:rsid w:val="00802185"/>
    <w:rsid w:val="00812CA9"/>
    <w:rsid w:val="008345FB"/>
    <w:rsid w:val="00845B58"/>
    <w:rsid w:val="00893427"/>
    <w:rsid w:val="008A2720"/>
    <w:rsid w:val="008B2FCD"/>
    <w:rsid w:val="008C3ABD"/>
    <w:rsid w:val="00902996"/>
    <w:rsid w:val="00905C42"/>
    <w:rsid w:val="009064F4"/>
    <w:rsid w:val="009217B0"/>
    <w:rsid w:val="009619BB"/>
    <w:rsid w:val="0096771C"/>
    <w:rsid w:val="009758D4"/>
    <w:rsid w:val="009B5390"/>
    <w:rsid w:val="009C2391"/>
    <w:rsid w:val="009C7532"/>
    <w:rsid w:val="009D1303"/>
    <w:rsid w:val="009D4052"/>
    <w:rsid w:val="00A0502B"/>
    <w:rsid w:val="00A22A13"/>
    <w:rsid w:val="00A52F0D"/>
    <w:rsid w:val="00A757F6"/>
    <w:rsid w:val="00A87E35"/>
    <w:rsid w:val="00A94A83"/>
    <w:rsid w:val="00AA07A6"/>
    <w:rsid w:val="00AE2398"/>
    <w:rsid w:val="00B25F22"/>
    <w:rsid w:val="00B33ADB"/>
    <w:rsid w:val="00B37154"/>
    <w:rsid w:val="00B40DB6"/>
    <w:rsid w:val="00BA5134"/>
    <w:rsid w:val="00BB78A4"/>
    <w:rsid w:val="00BD2092"/>
    <w:rsid w:val="00BF491E"/>
    <w:rsid w:val="00BF7DBB"/>
    <w:rsid w:val="00C02179"/>
    <w:rsid w:val="00C201E6"/>
    <w:rsid w:val="00C52C19"/>
    <w:rsid w:val="00C53675"/>
    <w:rsid w:val="00C93039"/>
    <w:rsid w:val="00CB7AED"/>
    <w:rsid w:val="00D12E96"/>
    <w:rsid w:val="00D415CB"/>
    <w:rsid w:val="00D54FCB"/>
    <w:rsid w:val="00D74FFE"/>
    <w:rsid w:val="00D93A60"/>
    <w:rsid w:val="00D96D7F"/>
    <w:rsid w:val="00DB0DCB"/>
    <w:rsid w:val="00DB25FF"/>
    <w:rsid w:val="00DC36CD"/>
    <w:rsid w:val="00DE14A8"/>
    <w:rsid w:val="00E314F5"/>
    <w:rsid w:val="00E66821"/>
    <w:rsid w:val="00E80D80"/>
    <w:rsid w:val="00F0144B"/>
    <w:rsid w:val="00F05161"/>
    <w:rsid w:val="00F344BE"/>
    <w:rsid w:val="00F514D6"/>
    <w:rsid w:val="00F566B6"/>
    <w:rsid w:val="00F768E3"/>
    <w:rsid w:val="00FC0F2F"/>
    <w:rsid w:val="00FD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E324A"/>
  <w15:docId w15:val="{20A2B2F9-39E2-4A0A-89FC-BD3FCCEA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7B197B"/>
    <w:pPr>
      <w:keepNext/>
      <w:outlineLvl w:val="0"/>
    </w:pPr>
    <w:rPr>
      <w:rFonts w:cs="Mangal"/>
      <w:b/>
      <w:bCs/>
      <w:sz w:val="22"/>
      <w:szCs w:val="22"/>
      <w:lang w:val="en-GB" w:eastAsia="en-GB" w:bidi="ne-NP"/>
    </w:rPr>
  </w:style>
  <w:style w:type="paragraph" w:styleId="Heading2">
    <w:name w:val="heading 2"/>
    <w:basedOn w:val="Normal"/>
    <w:next w:val="Normal"/>
    <w:qFormat/>
    <w:rsid w:val="007B197B"/>
    <w:pPr>
      <w:keepNext/>
      <w:jc w:val="center"/>
      <w:outlineLvl w:val="1"/>
    </w:pPr>
    <w:rPr>
      <w:rFonts w:cs="Mangal"/>
      <w:b/>
      <w:bCs/>
      <w:sz w:val="22"/>
      <w:szCs w:val="22"/>
      <w:lang w:val="en-GB" w:eastAsia="en-GB" w:bidi="ne-NP"/>
    </w:rPr>
  </w:style>
  <w:style w:type="paragraph" w:styleId="Heading4">
    <w:name w:val="heading 4"/>
    <w:basedOn w:val="Normal"/>
    <w:next w:val="Normal"/>
    <w:qFormat/>
    <w:rsid w:val="00BA513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7B197B"/>
    <w:pPr>
      <w:widowControl w:val="0"/>
    </w:pPr>
    <w:rPr>
      <w:rFonts w:ascii="Monaco" w:hAnsi="Monaco" w:cs="Mangal"/>
      <w:snapToGrid w:val="0"/>
      <w:lang w:val="en-GB" w:bidi="ne-NP"/>
    </w:rPr>
  </w:style>
  <w:style w:type="paragraph" w:styleId="BalloonText">
    <w:name w:val="Balloon Text"/>
    <w:basedOn w:val="Normal"/>
    <w:link w:val="BalloonTextChar"/>
    <w:rsid w:val="00D74FFE"/>
    <w:rPr>
      <w:rFonts w:ascii="Tahoma" w:hAnsi="Tahoma" w:cs="Tahoma"/>
      <w:sz w:val="16"/>
      <w:szCs w:val="16"/>
    </w:rPr>
  </w:style>
  <w:style w:type="character" w:customStyle="1" w:styleId="BalloonTextChar">
    <w:name w:val="Balloon Text Char"/>
    <w:link w:val="BalloonText"/>
    <w:rsid w:val="00D74FFE"/>
    <w:rPr>
      <w:rFonts w:ascii="Tahoma" w:hAnsi="Tahoma" w:cs="Tahoma"/>
      <w:sz w:val="16"/>
      <w:szCs w:val="16"/>
      <w:lang w:val="en-US" w:eastAsia="en-US"/>
    </w:rPr>
  </w:style>
  <w:style w:type="paragraph" w:styleId="ListParagraph">
    <w:name w:val="List Paragraph"/>
    <w:basedOn w:val="Normal"/>
    <w:uiPriority w:val="34"/>
    <w:qFormat/>
    <w:rsid w:val="009619BB"/>
    <w:pPr>
      <w:ind w:left="720"/>
      <w:contextualSpacing/>
    </w:pPr>
  </w:style>
  <w:style w:type="paragraph" w:styleId="BodyText3">
    <w:name w:val="Body Text 3"/>
    <w:basedOn w:val="Normal"/>
    <w:link w:val="BodyText3Char"/>
    <w:rsid w:val="009C7532"/>
    <w:pPr>
      <w:spacing w:after="120"/>
    </w:pPr>
    <w:rPr>
      <w:sz w:val="16"/>
      <w:szCs w:val="16"/>
      <w:lang w:val="en-GB" w:eastAsia="en-GB"/>
    </w:rPr>
  </w:style>
  <w:style w:type="character" w:customStyle="1" w:styleId="BodyText3Char">
    <w:name w:val="Body Text 3 Char"/>
    <w:basedOn w:val="DefaultParagraphFont"/>
    <w:link w:val="BodyText3"/>
    <w:rsid w:val="009C7532"/>
    <w:rPr>
      <w:sz w:val="16"/>
      <w:szCs w:val="16"/>
    </w:rPr>
  </w:style>
  <w:style w:type="table" w:styleId="TableGrid">
    <w:name w:val="Table Grid"/>
    <w:basedOn w:val="TableNormal"/>
    <w:uiPriority w:val="59"/>
    <w:rsid w:val="009C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8C06AEF216947AF86D034D0FC4279" ma:contentTypeVersion="6" ma:contentTypeDescription="Create a new document." ma:contentTypeScope="" ma:versionID="346b5cc0a013eae93f1cbe341513259c">
  <xsd:schema xmlns:xsd="http://www.w3.org/2001/XMLSchema" xmlns:xs="http://www.w3.org/2001/XMLSchema" xmlns:p="http://schemas.microsoft.com/office/2006/metadata/properties" xmlns:ns2="6435448e-f188-4085-ab93-30788fd37929" xmlns:ns3="d4ece0f8-3bfd-4055-a587-1b8764e14a0b" targetNamespace="http://schemas.microsoft.com/office/2006/metadata/properties" ma:root="true" ma:fieldsID="4af1703696bdd2c65c0f170d1a96d981" ns2:_="" ns3:_="">
    <xsd:import namespace="6435448e-f188-4085-ab93-30788fd37929"/>
    <xsd:import namespace="d4ece0f8-3bfd-4055-a587-1b8764e14a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5448e-f188-4085-ab93-30788fd37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ece0f8-3bfd-4055-a587-1b8764e14a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EE59D-C53C-466E-AA3A-F37252445F17}">
  <ds:schemaRefs>
    <ds:schemaRef ds:uri="http://schemas.microsoft.com/sharepoint/v3/contenttype/forms"/>
  </ds:schemaRefs>
</ds:datastoreItem>
</file>

<file path=customXml/itemProps2.xml><?xml version="1.0" encoding="utf-8"?>
<ds:datastoreItem xmlns:ds="http://schemas.openxmlformats.org/officeDocument/2006/customXml" ds:itemID="{EF792CE7-7945-40ED-924D-877637FB2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5448e-f188-4085-ab93-30788fd37929"/>
    <ds:schemaRef ds:uri="d4ece0f8-3bfd-4055-a587-1b8764e14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961D6-78A6-4B29-A471-A53DED481415}">
  <ds:schemaRefs>
    <ds:schemaRef ds:uri="http://schemas.openxmlformats.org/officeDocument/2006/bibliography"/>
  </ds:schemaRefs>
</ds:datastoreItem>
</file>

<file path=customXml/itemProps4.xml><?xml version="1.0" encoding="utf-8"?>
<ds:datastoreItem xmlns:ds="http://schemas.openxmlformats.org/officeDocument/2006/customXml" ds:itemID="{FB45535D-7E95-48B7-80A4-03E4D2C09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1989</Words>
  <Characters>10192</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ANGUS HOUSING ASSOCIATION LIMITED</vt:lpstr>
    </vt:vector>
  </TitlesOfParts>
  <Company>Angus Housing Association</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ANGUS HOUSING ASSOCIATION LIMITED</dc:title>
  <dc:creator>linlay</dc:creator>
  <cp:lastModifiedBy>Linlay Anderson</cp:lastModifiedBy>
  <cp:revision>2</cp:revision>
  <cp:lastPrinted>2017-12-07T09:19:00Z</cp:lastPrinted>
  <dcterms:created xsi:type="dcterms:W3CDTF">2024-03-06T10:41:00Z</dcterms:created>
  <dcterms:modified xsi:type="dcterms:W3CDTF">2024-03-06T10:41:00Z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0x01010052B8C06AEF216947AF86D034D0FC4279</vt:lpwstr>
  </property>
</Properties>
</file>