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E95775" w14:textId="77777777" w:rsidR="00783032" w:rsidRDefault="00783032"/>
    <w:p w14:paraId="67CD0CC7" w14:textId="77777777" w:rsidR="003F4CC3" w:rsidRPr="003F4CC3" w:rsidRDefault="001867EE" w:rsidP="003F4CC3">
      <w:pPr>
        <w:spacing w:line="360" w:lineRule="auto"/>
        <w:jc w:val="center"/>
        <w:rPr>
          <w:rFonts w:cs="Arial"/>
          <w:b/>
          <w:sz w:val="32"/>
          <w:szCs w:val="32"/>
          <w:u w:val="single"/>
          <w:lang w:val="en-GB" w:eastAsia="en-US" w:bidi="ar-SA"/>
        </w:rPr>
      </w:pPr>
      <w:r w:rsidRPr="003F4CC3">
        <w:rPr>
          <w:rFonts w:cs="Times New Roman"/>
          <w:noProof/>
          <w:lang w:val="en-GB" w:bidi="ar-SA"/>
        </w:rPr>
        <w:drawing>
          <wp:anchor distT="0" distB="0" distL="114300" distR="114300" simplePos="0" relativeHeight="251657728" behindDoc="0" locked="0" layoutInCell="1" allowOverlap="1" wp14:anchorId="3DB15460" wp14:editId="56FEBB3E">
            <wp:simplePos x="0" y="0"/>
            <wp:positionH relativeFrom="column">
              <wp:posOffset>484505</wp:posOffset>
            </wp:positionH>
            <wp:positionV relativeFrom="paragraph">
              <wp:posOffset>1905</wp:posOffset>
            </wp:positionV>
            <wp:extent cx="4572000" cy="2505075"/>
            <wp:effectExtent l="0" t="0" r="0" b="0"/>
            <wp:wrapNone/>
            <wp:docPr id="3" name="Picture 2563863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638633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0" cy="2505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701000" w14:textId="77777777" w:rsidR="003F4CC3" w:rsidRPr="003F4CC3" w:rsidRDefault="003F4CC3" w:rsidP="003F4CC3">
      <w:pPr>
        <w:spacing w:line="360" w:lineRule="auto"/>
        <w:jc w:val="center"/>
        <w:rPr>
          <w:rFonts w:cs="Arial"/>
          <w:b/>
          <w:sz w:val="32"/>
          <w:szCs w:val="32"/>
          <w:u w:val="single"/>
          <w:lang w:val="en-GB" w:eastAsia="en-US" w:bidi="ar-SA"/>
        </w:rPr>
      </w:pPr>
    </w:p>
    <w:p w14:paraId="2622A472" w14:textId="77777777" w:rsidR="003F4CC3" w:rsidRPr="003F4CC3" w:rsidRDefault="003F4CC3" w:rsidP="003F4CC3">
      <w:pPr>
        <w:spacing w:line="360" w:lineRule="auto"/>
        <w:jc w:val="center"/>
        <w:rPr>
          <w:rFonts w:cs="Arial"/>
          <w:b/>
          <w:sz w:val="32"/>
          <w:szCs w:val="32"/>
          <w:u w:val="single"/>
          <w:lang w:val="en-GB" w:eastAsia="en-US" w:bidi="ar-SA"/>
        </w:rPr>
      </w:pPr>
    </w:p>
    <w:p w14:paraId="1A0B7817" w14:textId="77777777" w:rsidR="003F4CC3" w:rsidRPr="003F4CC3" w:rsidRDefault="003F4CC3" w:rsidP="003F4CC3">
      <w:pPr>
        <w:spacing w:line="360" w:lineRule="auto"/>
        <w:jc w:val="center"/>
        <w:rPr>
          <w:rFonts w:cs="Arial"/>
          <w:b/>
          <w:sz w:val="32"/>
          <w:szCs w:val="32"/>
          <w:u w:val="single"/>
          <w:lang w:val="en-GB" w:eastAsia="en-US" w:bidi="ar-SA"/>
        </w:rPr>
      </w:pPr>
    </w:p>
    <w:p w14:paraId="450AD98E" w14:textId="77777777" w:rsidR="003F4CC3" w:rsidRPr="003F4CC3" w:rsidRDefault="003F4CC3" w:rsidP="003F4CC3">
      <w:pPr>
        <w:spacing w:line="360" w:lineRule="auto"/>
        <w:jc w:val="center"/>
        <w:rPr>
          <w:rFonts w:cs="Arial"/>
          <w:b/>
          <w:sz w:val="32"/>
          <w:szCs w:val="32"/>
          <w:u w:val="single"/>
          <w:lang w:val="en-GB" w:eastAsia="en-US" w:bidi="ar-SA"/>
        </w:rPr>
      </w:pPr>
    </w:p>
    <w:p w14:paraId="4C48F633" w14:textId="77777777" w:rsidR="003F4CC3" w:rsidRPr="003F4CC3" w:rsidRDefault="003F4CC3" w:rsidP="003F4CC3">
      <w:pPr>
        <w:spacing w:line="360" w:lineRule="auto"/>
        <w:jc w:val="center"/>
        <w:rPr>
          <w:rFonts w:cs="Arial"/>
          <w:b/>
          <w:sz w:val="32"/>
          <w:szCs w:val="32"/>
          <w:u w:val="single"/>
          <w:lang w:val="en-GB" w:eastAsia="en-US" w:bidi="ar-SA"/>
        </w:rPr>
      </w:pPr>
    </w:p>
    <w:p w14:paraId="2619E5A9" w14:textId="77777777" w:rsidR="003F4CC3" w:rsidRPr="003F4CC3" w:rsidRDefault="003F4CC3" w:rsidP="003F4CC3">
      <w:pPr>
        <w:spacing w:line="360" w:lineRule="auto"/>
        <w:jc w:val="center"/>
        <w:rPr>
          <w:rFonts w:cs="Arial"/>
          <w:b/>
          <w:sz w:val="32"/>
          <w:szCs w:val="32"/>
          <w:u w:val="single"/>
          <w:lang w:val="en-GB" w:eastAsia="en-US" w:bidi="ar-SA"/>
        </w:rPr>
      </w:pPr>
    </w:p>
    <w:p w14:paraId="4A8C43C9" w14:textId="77777777" w:rsidR="003F4CC3" w:rsidRPr="003F4CC3" w:rsidRDefault="003F4CC3" w:rsidP="003F4CC3">
      <w:pPr>
        <w:spacing w:line="360" w:lineRule="auto"/>
        <w:jc w:val="center"/>
        <w:rPr>
          <w:rFonts w:cs="Arial"/>
          <w:b/>
          <w:sz w:val="32"/>
          <w:szCs w:val="32"/>
          <w:u w:val="single"/>
          <w:lang w:val="en-GB" w:eastAsia="en-US" w:bidi="ar-SA"/>
        </w:rPr>
      </w:pPr>
    </w:p>
    <w:p w14:paraId="02114320" w14:textId="77777777" w:rsidR="003F4CC3" w:rsidRPr="003F4CC3" w:rsidRDefault="003F4CC3" w:rsidP="003F4CC3">
      <w:pPr>
        <w:suppressAutoHyphens/>
        <w:autoSpaceDN w:val="0"/>
        <w:spacing w:after="200" w:line="276" w:lineRule="auto"/>
        <w:textAlignment w:val="baseline"/>
        <w:rPr>
          <w:rFonts w:ascii="Calibri" w:eastAsia="Calibri" w:hAnsi="Calibri" w:cs="Arial"/>
          <w:sz w:val="22"/>
          <w:szCs w:val="22"/>
          <w:lang w:val="en-GB" w:eastAsia="en-US" w:bidi="ar-SA"/>
        </w:rPr>
      </w:pPr>
    </w:p>
    <w:tbl>
      <w:tblPr>
        <w:tblW w:w="8330" w:type="dxa"/>
        <w:tblCellMar>
          <w:left w:w="10" w:type="dxa"/>
          <w:right w:w="10" w:type="dxa"/>
        </w:tblCellMar>
        <w:tblLook w:val="0000" w:firstRow="0" w:lastRow="0" w:firstColumn="0" w:lastColumn="0" w:noHBand="0" w:noVBand="0"/>
      </w:tblPr>
      <w:tblGrid>
        <w:gridCol w:w="2235"/>
        <w:gridCol w:w="1275"/>
        <w:gridCol w:w="2127"/>
        <w:gridCol w:w="2693"/>
      </w:tblGrid>
      <w:tr w:rsidR="003F4CC3" w:rsidRPr="003F4CC3" w14:paraId="588E7F6E" w14:textId="77777777" w:rsidTr="003B647A">
        <w:trPr>
          <w:trHeight w:val="397"/>
        </w:trPr>
        <w:tc>
          <w:tcPr>
            <w:tcW w:w="3510" w:type="dxa"/>
            <w:gridSpan w:val="2"/>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6B48D294" w14:textId="77777777" w:rsidR="003F4CC3" w:rsidRPr="003F4CC3" w:rsidRDefault="003F4CC3" w:rsidP="003F4CC3">
            <w:pPr>
              <w:suppressAutoHyphens/>
              <w:autoSpaceDN w:val="0"/>
              <w:spacing w:after="200" w:line="276" w:lineRule="auto"/>
              <w:textAlignment w:val="baseline"/>
              <w:rPr>
                <w:rFonts w:eastAsia="Calibri" w:cs="Arial"/>
                <w:b/>
                <w:sz w:val="22"/>
                <w:szCs w:val="22"/>
                <w:lang w:val="en-GB" w:eastAsia="en-US" w:bidi="ar-SA"/>
              </w:rPr>
            </w:pPr>
            <w:r w:rsidRPr="003F4CC3">
              <w:rPr>
                <w:rFonts w:eastAsia="Calibri" w:cs="Arial"/>
                <w:b/>
                <w:sz w:val="22"/>
                <w:szCs w:val="22"/>
                <w:lang w:val="en-GB" w:eastAsia="en-US" w:bidi="ar-SA"/>
              </w:rPr>
              <w:t>Policy Name</w:t>
            </w:r>
          </w:p>
        </w:tc>
        <w:tc>
          <w:tcPr>
            <w:tcW w:w="4820" w:type="dxa"/>
            <w:gridSpan w:val="2"/>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63C35B32" w14:textId="77777777" w:rsidR="003F4CC3" w:rsidRPr="003F4CC3" w:rsidRDefault="003F4CC3" w:rsidP="003F4CC3">
            <w:pPr>
              <w:suppressAutoHyphens/>
              <w:autoSpaceDN w:val="0"/>
              <w:spacing w:after="200" w:line="276" w:lineRule="auto"/>
              <w:textAlignment w:val="baseline"/>
              <w:rPr>
                <w:rFonts w:eastAsia="Calibri" w:cs="Arial"/>
                <w:sz w:val="22"/>
                <w:szCs w:val="22"/>
                <w:lang w:val="en-GB" w:eastAsia="en-US" w:bidi="ar-SA"/>
              </w:rPr>
            </w:pPr>
            <w:r>
              <w:rPr>
                <w:rFonts w:eastAsia="Calibri" w:cs="Arial"/>
                <w:sz w:val="22"/>
                <w:szCs w:val="22"/>
                <w:lang w:val="en-GB" w:eastAsia="en-US" w:bidi="ar-SA"/>
              </w:rPr>
              <w:t xml:space="preserve">Abandonment Policy </w:t>
            </w:r>
          </w:p>
        </w:tc>
      </w:tr>
      <w:tr w:rsidR="003F4CC3" w:rsidRPr="003F4CC3" w14:paraId="766F28CB" w14:textId="77777777" w:rsidTr="003B647A">
        <w:trPr>
          <w:trHeight w:val="397"/>
        </w:trPr>
        <w:tc>
          <w:tcPr>
            <w:tcW w:w="3510" w:type="dxa"/>
            <w:gridSpan w:val="2"/>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6DBB78DF" w14:textId="77777777" w:rsidR="003F4CC3" w:rsidRPr="003F4CC3" w:rsidRDefault="003F4CC3" w:rsidP="003F4CC3">
            <w:pPr>
              <w:suppressAutoHyphens/>
              <w:autoSpaceDN w:val="0"/>
              <w:spacing w:after="200" w:line="276" w:lineRule="auto"/>
              <w:textAlignment w:val="baseline"/>
              <w:rPr>
                <w:rFonts w:eastAsia="Calibri" w:cs="Arial"/>
                <w:b/>
                <w:sz w:val="22"/>
                <w:szCs w:val="22"/>
                <w:lang w:val="en-GB" w:eastAsia="en-US" w:bidi="ar-SA"/>
              </w:rPr>
            </w:pPr>
            <w:r w:rsidRPr="003F4CC3">
              <w:rPr>
                <w:rFonts w:eastAsia="Calibri" w:cs="Arial"/>
                <w:b/>
                <w:sz w:val="22"/>
                <w:szCs w:val="22"/>
                <w:lang w:val="en-GB" w:eastAsia="en-US" w:bidi="ar-SA"/>
              </w:rPr>
              <w:t>Policy Ref</w:t>
            </w:r>
          </w:p>
        </w:tc>
        <w:tc>
          <w:tcPr>
            <w:tcW w:w="4820" w:type="dxa"/>
            <w:gridSpan w:val="2"/>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4C190204" w14:textId="77777777" w:rsidR="003F4CC3" w:rsidRPr="003F4CC3" w:rsidRDefault="003F4CC3" w:rsidP="003F4CC3">
            <w:pPr>
              <w:suppressAutoHyphens/>
              <w:autoSpaceDN w:val="0"/>
              <w:spacing w:after="200" w:line="276" w:lineRule="auto"/>
              <w:textAlignment w:val="baseline"/>
              <w:rPr>
                <w:rFonts w:eastAsia="Calibri" w:cs="Arial"/>
                <w:sz w:val="22"/>
                <w:szCs w:val="22"/>
                <w:lang w:val="en-GB" w:eastAsia="en-US" w:bidi="ar-SA"/>
              </w:rPr>
            </w:pPr>
          </w:p>
        </w:tc>
      </w:tr>
      <w:tr w:rsidR="003F4CC3" w:rsidRPr="003F4CC3" w14:paraId="14AFA9A5" w14:textId="77777777" w:rsidTr="003B647A">
        <w:trPr>
          <w:trHeight w:val="397"/>
        </w:trPr>
        <w:tc>
          <w:tcPr>
            <w:tcW w:w="3510" w:type="dxa"/>
            <w:gridSpan w:val="2"/>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217CEFAE" w14:textId="77777777" w:rsidR="003F4CC3" w:rsidRPr="003F4CC3" w:rsidRDefault="003F4CC3" w:rsidP="003F4CC3">
            <w:pPr>
              <w:suppressAutoHyphens/>
              <w:autoSpaceDN w:val="0"/>
              <w:spacing w:after="200" w:line="276" w:lineRule="auto"/>
              <w:textAlignment w:val="baseline"/>
              <w:rPr>
                <w:rFonts w:eastAsia="Calibri" w:cs="Arial"/>
                <w:b/>
                <w:sz w:val="22"/>
                <w:szCs w:val="22"/>
                <w:lang w:val="en-GB" w:eastAsia="en-US" w:bidi="ar-SA"/>
              </w:rPr>
            </w:pPr>
            <w:r w:rsidRPr="003F4CC3">
              <w:rPr>
                <w:rFonts w:eastAsia="Calibri" w:cs="Arial"/>
                <w:b/>
                <w:sz w:val="22"/>
                <w:szCs w:val="22"/>
                <w:lang w:val="en-GB" w:eastAsia="en-US" w:bidi="ar-SA"/>
              </w:rPr>
              <w:t>Review Date</w:t>
            </w:r>
          </w:p>
        </w:tc>
        <w:tc>
          <w:tcPr>
            <w:tcW w:w="4820" w:type="dxa"/>
            <w:gridSpan w:val="2"/>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5103AA78" w14:textId="77777777" w:rsidR="003F4CC3" w:rsidRPr="003F4CC3" w:rsidRDefault="003F4CC3" w:rsidP="003F4CC3">
            <w:pPr>
              <w:suppressAutoHyphens/>
              <w:autoSpaceDN w:val="0"/>
              <w:spacing w:after="200" w:line="276" w:lineRule="auto"/>
              <w:textAlignment w:val="baseline"/>
              <w:rPr>
                <w:rFonts w:eastAsia="Calibri" w:cs="Arial"/>
                <w:sz w:val="22"/>
                <w:szCs w:val="22"/>
                <w:lang w:val="en-GB" w:eastAsia="en-US" w:bidi="ar-SA"/>
              </w:rPr>
            </w:pPr>
            <w:r>
              <w:rPr>
                <w:rFonts w:eastAsia="Calibri" w:cs="Arial"/>
                <w:sz w:val="22"/>
                <w:szCs w:val="22"/>
                <w:lang w:val="en-GB" w:eastAsia="en-US" w:bidi="ar-SA"/>
              </w:rPr>
              <w:t>February</w:t>
            </w:r>
            <w:r w:rsidRPr="003F4CC3">
              <w:rPr>
                <w:rFonts w:eastAsia="Calibri" w:cs="Arial"/>
                <w:sz w:val="22"/>
                <w:szCs w:val="22"/>
                <w:lang w:val="en-GB" w:eastAsia="en-US" w:bidi="ar-SA"/>
              </w:rPr>
              <w:t xml:space="preserve"> </w:t>
            </w:r>
            <w:r>
              <w:rPr>
                <w:rFonts w:eastAsia="Calibri" w:cs="Arial"/>
                <w:sz w:val="22"/>
                <w:szCs w:val="22"/>
                <w:lang w:val="en-GB" w:eastAsia="en-US" w:bidi="ar-SA"/>
              </w:rPr>
              <w:t>2023</w:t>
            </w:r>
          </w:p>
        </w:tc>
      </w:tr>
      <w:tr w:rsidR="003F4CC3" w:rsidRPr="003F4CC3" w14:paraId="11D70A0B" w14:textId="77777777" w:rsidTr="003B647A">
        <w:trPr>
          <w:trHeight w:val="397"/>
        </w:trPr>
        <w:tc>
          <w:tcPr>
            <w:tcW w:w="3510" w:type="dxa"/>
            <w:gridSpan w:val="2"/>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320BCF92" w14:textId="77777777" w:rsidR="003F4CC3" w:rsidRPr="003F4CC3" w:rsidRDefault="003F4CC3" w:rsidP="003F4CC3">
            <w:pPr>
              <w:suppressAutoHyphens/>
              <w:autoSpaceDN w:val="0"/>
              <w:spacing w:after="200" w:line="276" w:lineRule="auto"/>
              <w:textAlignment w:val="baseline"/>
              <w:rPr>
                <w:rFonts w:eastAsia="Calibri" w:cs="Arial"/>
                <w:b/>
                <w:sz w:val="22"/>
                <w:szCs w:val="22"/>
                <w:lang w:val="en-GB" w:eastAsia="en-US" w:bidi="ar-SA"/>
              </w:rPr>
            </w:pPr>
            <w:r w:rsidRPr="003F4CC3">
              <w:rPr>
                <w:rFonts w:eastAsia="Calibri" w:cs="Arial"/>
                <w:b/>
                <w:sz w:val="22"/>
                <w:szCs w:val="22"/>
                <w:lang w:val="en-GB" w:eastAsia="en-US" w:bidi="ar-SA"/>
              </w:rPr>
              <w:t>Purpose</w:t>
            </w:r>
          </w:p>
        </w:tc>
        <w:tc>
          <w:tcPr>
            <w:tcW w:w="4820" w:type="dxa"/>
            <w:gridSpan w:val="2"/>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0A26E976" w14:textId="77777777" w:rsidR="003F4CC3" w:rsidRPr="003F4CC3" w:rsidRDefault="003F4CC3" w:rsidP="003F4CC3">
            <w:pPr>
              <w:suppressAutoHyphens/>
              <w:autoSpaceDN w:val="0"/>
              <w:spacing w:after="200" w:line="276" w:lineRule="auto"/>
              <w:textAlignment w:val="baseline"/>
              <w:rPr>
                <w:rFonts w:eastAsia="Calibri" w:cs="Arial"/>
                <w:sz w:val="22"/>
                <w:szCs w:val="22"/>
                <w:lang w:val="en-GB" w:eastAsia="en-US" w:bidi="ar-SA"/>
              </w:rPr>
            </w:pPr>
            <w:r w:rsidRPr="003F4CC3">
              <w:rPr>
                <w:rFonts w:eastAsia="Calibri" w:cs="Arial"/>
                <w:sz w:val="22"/>
                <w:szCs w:val="22"/>
                <w:lang w:val="en-GB" w:eastAsia="en-US" w:bidi="ar-SA"/>
              </w:rPr>
              <w:t>REVIEW &amp; APPROVE</w:t>
            </w:r>
          </w:p>
        </w:tc>
      </w:tr>
      <w:tr w:rsidR="003F4CC3" w:rsidRPr="003F4CC3" w14:paraId="5160679E" w14:textId="77777777" w:rsidTr="003B647A">
        <w:trPr>
          <w:trHeight w:val="397"/>
        </w:trPr>
        <w:tc>
          <w:tcPr>
            <w:tcW w:w="3510" w:type="dxa"/>
            <w:gridSpan w:val="2"/>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01A907FD" w14:textId="77777777" w:rsidR="003F4CC3" w:rsidRPr="003F4CC3" w:rsidRDefault="003F4CC3" w:rsidP="003F4CC3">
            <w:pPr>
              <w:suppressAutoHyphens/>
              <w:autoSpaceDN w:val="0"/>
              <w:spacing w:after="200" w:line="276" w:lineRule="auto"/>
              <w:textAlignment w:val="baseline"/>
              <w:rPr>
                <w:rFonts w:eastAsia="Calibri" w:cs="Arial"/>
                <w:b/>
                <w:sz w:val="22"/>
                <w:szCs w:val="22"/>
                <w:lang w:val="en-GB" w:eastAsia="en-US" w:bidi="ar-SA"/>
              </w:rPr>
            </w:pPr>
            <w:r w:rsidRPr="003F4CC3">
              <w:rPr>
                <w:rFonts w:eastAsia="Calibri" w:cs="Arial"/>
                <w:b/>
                <w:sz w:val="22"/>
                <w:szCs w:val="22"/>
                <w:lang w:val="en-GB" w:eastAsia="en-US" w:bidi="ar-SA"/>
              </w:rPr>
              <w:t>Next Review Date</w:t>
            </w:r>
          </w:p>
        </w:tc>
        <w:tc>
          <w:tcPr>
            <w:tcW w:w="4820" w:type="dxa"/>
            <w:gridSpan w:val="2"/>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4CA42D08" w14:textId="088F68A2" w:rsidR="003F4CC3" w:rsidRPr="003F4CC3" w:rsidRDefault="003F4CC3" w:rsidP="003F4CC3">
            <w:pPr>
              <w:suppressAutoHyphens/>
              <w:autoSpaceDN w:val="0"/>
              <w:spacing w:after="200" w:line="276" w:lineRule="auto"/>
              <w:textAlignment w:val="baseline"/>
              <w:rPr>
                <w:rFonts w:eastAsia="Calibri" w:cs="Arial"/>
                <w:sz w:val="22"/>
                <w:szCs w:val="22"/>
                <w:lang w:val="en-GB" w:eastAsia="en-US" w:bidi="ar-SA"/>
              </w:rPr>
            </w:pPr>
            <w:r>
              <w:rPr>
                <w:rFonts w:eastAsia="Calibri" w:cs="Arial"/>
                <w:sz w:val="22"/>
                <w:szCs w:val="22"/>
                <w:lang w:val="en-GB" w:eastAsia="en-US" w:bidi="ar-SA"/>
              </w:rPr>
              <w:t>February</w:t>
            </w:r>
            <w:r w:rsidRPr="003F4CC3">
              <w:rPr>
                <w:rFonts w:eastAsia="Calibri" w:cs="Arial"/>
                <w:sz w:val="22"/>
                <w:szCs w:val="22"/>
                <w:lang w:val="en-GB" w:eastAsia="en-US" w:bidi="ar-SA"/>
              </w:rPr>
              <w:t xml:space="preserve"> 202</w:t>
            </w:r>
            <w:r w:rsidR="00FE09A8">
              <w:rPr>
                <w:rFonts w:eastAsia="Calibri" w:cs="Arial"/>
                <w:sz w:val="22"/>
                <w:szCs w:val="22"/>
                <w:lang w:val="en-GB" w:eastAsia="en-US" w:bidi="ar-SA"/>
              </w:rPr>
              <w:t>8</w:t>
            </w:r>
          </w:p>
        </w:tc>
      </w:tr>
      <w:tr w:rsidR="003F4CC3" w:rsidRPr="003F4CC3" w14:paraId="47828EBF" w14:textId="77777777" w:rsidTr="003B647A">
        <w:trPr>
          <w:trHeight w:val="397"/>
        </w:trPr>
        <w:tc>
          <w:tcPr>
            <w:tcW w:w="3510" w:type="dxa"/>
            <w:gridSpan w:val="2"/>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7A740A49" w14:textId="77777777" w:rsidR="003F4CC3" w:rsidRPr="003F4CC3" w:rsidRDefault="003F4CC3" w:rsidP="003F4CC3">
            <w:pPr>
              <w:suppressAutoHyphens/>
              <w:autoSpaceDN w:val="0"/>
              <w:spacing w:after="200" w:line="276" w:lineRule="auto"/>
              <w:textAlignment w:val="baseline"/>
              <w:rPr>
                <w:rFonts w:eastAsia="Calibri" w:cs="Arial"/>
                <w:b/>
                <w:sz w:val="22"/>
                <w:szCs w:val="22"/>
                <w:lang w:val="en-GB" w:eastAsia="en-US" w:bidi="ar-SA"/>
              </w:rPr>
            </w:pPr>
            <w:r w:rsidRPr="003F4CC3">
              <w:rPr>
                <w:rFonts w:eastAsia="Calibri" w:cs="Arial"/>
                <w:b/>
                <w:sz w:val="22"/>
                <w:szCs w:val="22"/>
                <w:lang w:val="en-GB" w:eastAsia="en-US" w:bidi="ar-SA"/>
              </w:rPr>
              <w:t>Committee</w:t>
            </w:r>
          </w:p>
        </w:tc>
        <w:tc>
          <w:tcPr>
            <w:tcW w:w="4820" w:type="dxa"/>
            <w:gridSpan w:val="2"/>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50BB9651" w14:textId="77777777" w:rsidR="003F4CC3" w:rsidRPr="003F4CC3" w:rsidRDefault="003F4CC3" w:rsidP="003F4CC3">
            <w:pPr>
              <w:suppressAutoHyphens/>
              <w:autoSpaceDN w:val="0"/>
              <w:spacing w:after="200" w:line="276" w:lineRule="auto"/>
              <w:textAlignment w:val="baseline"/>
              <w:rPr>
                <w:rFonts w:eastAsia="Calibri" w:cs="Arial"/>
                <w:sz w:val="22"/>
                <w:szCs w:val="22"/>
                <w:lang w:val="en-GB" w:eastAsia="en-US" w:bidi="ar-SA"/>
              </w:rPr>
            </w:pPr>
            <w:r w:rsidRPr="003F4CC3">
              <w:rPr>
                <w:rFonts w:eastAsia="Calibri" w:cs="Arial"/>
                <w:sz w:val="22"/>
                <w:szCs w:val="22"/>
                <w:lang w:val="en-GB" w:eastAsia="en-US" w:bidi="ar-SA"/>
              </w:rPr>
              <w:t xml:space="preserve">Service Delivery Policy </w:t>
            </w:r>
          </w:p>
        </w:tc>
      </w:tr>
      <w:tr w:rsidR="003F4CC3" w:rsidRPr="003F4CC3" w14:paraId="4E9438B9" w14:textId="77777777" w:rsidTr="003B647A">
        <w:trPr>
          <w:trHeight w:val="397"/>
        </w:trPr>
        <w:tc>
          <w:tcPr>
            <w:tcW w:w="3510" w:type="dxa"/>
            <w:gridSpan w:val="2"/>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76AB0FBF" w14:textId="77777777" w:rsidR="003F4CC3" w:rsidRPr="003F4CC3" w:rsidRDefault="003F4CC3" w:rsidP="003F4CC3">
            <w:pPr>
              <w:suppressAutoHyphens/>
              <w:autoSpaceDN w:val="0"/>
              <w:spacing w:after="200" w:line="276" w:lineRule="auto"/>
              <w:textAlignment w:val="baseline"/>
              <w:rPr>
                <w:rFonts w:eastAsia="Calibri" w:cs="Arial"/>
                <w:b/>
                <w:sz w:val="22"/>
                <w:szCs w:val="22"/>
                <w:lang w:val="en-GB" w:eastAsia="en-US" w:bidi="ar-SA"/>
              </w:rPr>
            </w:pPr>
            <w:r w:rsidRPr="003F4CC3">
              <w:rPr>
                <w:rFonts w:eastAsia="Calibri" w:cs="Arial"/>
                <w:b/>
                <w:sz w:val="22"/>
                <w:szCs w:val="22"/>
                <w:lang w:val="en-GB" w:eastAsia="en-US" w:bidi="ar-SA"/>
              </w:rPr>
              <w:t>Author</w:t>
            </w:r>
          </w:p>
        </w:tc>
        <w:tc>
          <w:tcPr>
            <w:tcW w:w="4820" w:type="dxa"/>
            <w:gridSpan w:val="2"/>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1B8814D7" w14:textId="77777777" w:rsidR="003F4CC3" w:rsidRPr="003F4CC3" w:rsidRDefault="003F4CC3" w:rsidP="003F4CC3">
            <w:pPr>
              <w:suppressAutoHyphens/>
              <w:autoSpaceDN w:val="0"/>
              <w:spacing w:after="200" w:line="276" w:lineRule="auto"/>
              <w:textAlignment w:val="baseline"/>
              <w:rPr>
                <w:rFonts w:eastAsia="Calibri" w:cs="Arial"/>
                <w:sz w:val="22"/>
                <w:szCs w:val="22"/>
                <w:lang w:val="en-GB" w:eastAsia="en-US" w:bidi="ar-SA"/>
              </w:rPr>
            </w:pPr>
            <w:r w:rsidRPr="003F4CC3">
              <w:rPr>
                <w:rFonts w:eastAsia="Calibri" w:cs="Arial"/>
                <w:sz w:val="22"/>
                <w:szCs w:val="22"/>
                <w:lang w:val="en-GB" w:eastAsia="en-US" w:bidi="ar-SA"/>
              </w:rPr>
              <w:t xml:space="preserve">Linlay Anderson </w:t>
            </w:r>
          </w:p>
        </w:tc>
      </w:tr>
      <w:tr w:rsidR="003F4CC3" w:rsidRPr="003F4CC3" w14:paraId="1C7F5089" w14:textId="77777777" w:rsidTr="003B647A">
        <w:trPr>
          <w:trHeight w:val="397"/>
        </w:trPr>
        <w:tc>
          <w:tcPr>
            <w:tcW w:w="2235" w:type="dxa"/>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2750E906" w14:textId="77777777" w:rsidR="003F4CC3" w:rsidRPr="003F4CC3" w:rsidRDefault="003F4CC3" w:rsidP="003F4CC3">
            <w:pPr>
              <w:suppressAutoHyphens/>
              <w:autoSpaceDN w:val="0"/>
              <w:spacing w:after="200" w:line="276" w:lineRule="auto"/>
              <w:textAlignment w:val="baseline"/>
              <w:rPr>
                <w:rFonts w:eastAsia="Calibri" w:cs="Arial"/>
                <w:b/>
                <w:sz w:val="22"/>
                <w:szCs w:val="22"/>
                <w:lang w:val="en-GB" w:eastAsia="en-US" w:bidi="ar-SA"/>
              </w:rPr>
            </w:pPr>
            <w:r w:rsidRPr="003F4CC3">
              <w:rPr>
                <w:rFonts w:eastAsia="Calibri" w:cs="Arial"/>
                <w:b/>
                <w:sz w:val="22"/>
                <w:szCs w:val="22"/>
                <w:lang w:val="en-GB" w:eastAsia="en-US" w:bidi="ar-SA"/>
              </w:rPr>
              <w:t>Internal Policy</w:t>
            </w:r>
          </w:p>
        </w:tc>
        <w:tc>
          <w:tcPr>
            <w:tcW w:w="1275" w:type="dxa"/>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66086085" w14:textId="77777777" w:rsidR="003F4CC3" w:rsidRPr="003F4CC3" w:rsidRDefault="003F4CC3" w:rsidP="003F4CC3">
            <w:pPr>
              <w:suppressAutoHyphens/>
              <w:autoSpaceDN w:val="0"/>
              <w:spacing w:after="200" w:line="276" w:lineRule="auto"/>
              <w:jc w:val="center"/>
              <w:textAlignment w:val="baseline"/>
              <w:rPr>
                <w:rFonts w:eastAsia="Calibri" w:cs="Arial"/>
                <w:sz w:val="22"/>
                <w:szCs w:val="22"/>
                <w:lang w:val="en-GB" w:eastAsia="en-US" w:bidi="ar-SA"/>
              </w:rPr>
            </w:pPr>
          </w:p>
        </w:tc>
        <w:tc>
          <w:tcPr>
            <w:tcW w:w="2127" w:type="dxa"/>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6A6BCA3F" w14:textId="77777777" w:rsidR="003F4CC3" w:rsidRPr="003F4CC3" w:rsidRDefault="003F4CC3" w:rsidP="003F4CC3">
            <w:pPr>
              <w:suppressAutoHyphens/>
              <w:autoSpaceDN w:val="0"/>
              <w:spacing w:after="200" w:line="276" w:lineRule="auto"/>
              <w:textAlignment w:val="baseline"/>
              <w:rPr>
                <w:rFonts w:eastAsia="Calibri" w:cs="Arial"/>
                <w:b/>
                <w:sz w:val="22"/>
                <w:szCs w:val="22"/>
                <w:lang w:val="en-GB" w:eastAsia="en-US" w:bidi="ar-SA"/>
              </w:rPr>
            </w:pPr>
            <w:r w:rsidRPr="003F4CC3">
              <w:rPr>
                <w:rFonts w:eastAsia="Calibri" w:cs="Arial"/>
                <w:b/>
                <w:sz w:val="22"/>
                <w:szCs w:val="22"/>
                <w:lang w:val="en-GB" w:eastAsia="en-US" w:bidi="ar-SA"/>
              </w:rPr>
              <w:t>To be published</w:t>
            </w:r>
          </w:p>
        </w:tc>
        <w:tc>
          <w:tcPr>
            <w:tcW w:w="2693" w:type="dxa"/>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443ABD5C" w14:textId="77777777" w:rsidR="003F4CC3" w:rsidRPr="003F4CC3" w:rsidRDefault="003F4CC3" w:rsidP="003F4CC3">
            <w:pPr>
              <w:suppressAutoHyphens/>
              <w:autoSpaceDN w:val="0"/>
              <w:spacing w:after="200" w:line="276" w:lineRule="auto"/>
              <w:textAlignment w:val="baseline"/>
              <w:rPr>
                <w:rFonts w:eastAsia="Calibri" w:cs="Arial"/>
                <w:sz w:val="22"/>
                <w:szCs w:val="22"/>
                <w:lang w:val="en-GB" w:eastAsia="en-US" w:bidi="ar-SA"/>
              </w:rPr>
            </w:pPr>
          </w:p>
        </w:tc>
      </w:tr>
    </w:tbl>
    <w:p w14:paraId="5B4150A4" w14:textId="77777777" w:rsidR="003F4CC3" w:rsidRPr="003F4CC3" w:rsidRDefault="003F4CC3" w:rsidP="003F4CC3">
      <w:pPr>
        <w:suppressAutoHyphens/>
        <w:autoSpaceDN w:val="0"/>
        <w:spacing w:after="200" w:line="276" w:lineRule="auto"/>
        <w:textAlignment w:val="baseline"/>
        <w:rPr>
          <w:rFonts w:ascii="Calibri" w:eastAsia="Calibri" w:hAnsi="Calibri" w:cs="Arial"/>
          <w:sz w:val="22"/>
          <w:szCs w:val="22"/>
          <w:lang w:val="en-GB" w:eastAsia="en-US" w:bidi="ar-SA"/>
        </w:rPr>
      </w:pPr>
    </w:p>
    <w:p w14:paraId="73BF783F" w14:textId="77777777" w:rsidR="003F4CC3" w:rsidRPr="003F4CC3" w:rsidRDefault="003F4CC3" w:rsidP="003F4CC3">
      <w:pPr>
        <w:suppressAutoHyphens/>
        <w:autoSpaceDN w:val="0"/>
        <w:spacing w:after="200" w:line="276" w:lineRule="auto"/>
        <w:ind w:left="720" w:right="-58" w:hanging="720"/>
        <w:textAlignment w:val="baseline"/>
        <w:rPr>
          <w:rFonts w:eastAsia="Arial" w:cs="Arial"/>
          <w:lang w:val="en-GB" w:eastAsia="en-US" w:bidi="ar-SA"/>
        </w:rPr>
      </w:pPr>
    </w:p>
    <w:p w14:paraId="1374EC78" w14:textId="77777777" w:rsidR="003F4CC3" w:rsidRPr="003F4CC3" w:rsidRDefault="003F4CC3" w:rsidP="003F4CC3">
      <w:pPr>
        <w:spacing w:line="360" w:lineRule="auto"/>
        <w:jc w:val="center"/>
        <w:rPr>
          <w:rFonts w:cs="Arial"/>
          <w:b/>
          <w:sz w:val="32"/>
          <w:szCs w:val="32"/>
          <w:u w:val="single"/>
          <w:lang w:val="en-GB" w:eastAsia="en-US" w:bidi="ar-SA"/>
        </w:rPr>
      </w:pPr>
    </w:p>
    <w:p w14:paraId="07A07A82" w14:textId="77777777" w:rsidR="003F4CC3" w:rsidRPr="003F4CC3" w:rsidRDefault="003F4CC3" w:rsidP="003F4CC3">
      <w:pPr>
        <w:spacing w:line="360" w:lineRule="auto"/>
        <w:jc w:val="center"/>
        <w:rPr>
          <w:rFonts w:cs="Arial"/>
          <w:b/>
          <w:sz w:val="32"/>
          <w:szCs w:val="32"/>
          <w:u w:val="single"/>
          <w:lang w:val="en-GB" w:eastAsia="en-US" w:bidi="ar-SA"/>
        </w:rPr>
      </w:pPr>
    </w:p>
    <w:p w14:paraId="32888892" w14:textId="77777777" w:rsidR="003F4CC3" w:rsidRPr="003F4CC3" w:rsidRDefault="003F4CC3" w:rsidP="003F4CC3">
      <w:pPr>
        <w:spacing w:line="360" w:lineRule="auto"/>
        <w:jc w:val="center"/>
        <w:rPr>
          <w:rFonts w:cs="Arial"/>
          <w:b/>
          <w:sz w:val="32"/>
          <w:szCs w:val="32"/>
          <w:u w:val="single"/>
          <w:lang w:val="en-GB" w:eastAsia="en-US" w:bidi="ar-SA"/>
        </w:rPr>
      </w:pPr>
    </w:p>
    <w:p w14:paraId="3AEC1D7C" w14:textId="77777777" w:rsidR="003F4CC3" w:rsidRPr="003F4CC3" w:rsidRDefault="003F4CC3" w:rsidP="003F4CC3">
      <w:pPr>
        <w:spacing w:line="360" w:lineRule="auto"/>
        <w:jc w:val="center"/>
        <w:rPr>
          <w:rFonts w:cs="Arial"/>
          <w:b/>
          <w:sz w:val="32"/>
          <w:szCs w:val="32"/>
          <w:u w:val="single"/>
          <w:lang w:val="en-GB" w:eastAsia="en-US" w:bidi="ar-SA"/>
        </w:rPr>
      </w:pPr>
    </w:p>
    <w:p w14:paraId="0F33ECBA" w14:textId="77777777" w:rsidR="007F1B17" w:rsidRDefault="007F1B17" w:rsidP="00077670">
      <w:pPr>
        <w:jc w:val="center"/>
        <w:rPr>
          <w:b/>
          <w:sz w:val="32"/>
          <w:szCs w:val="32"/>
          <w:u w:val="single"/>
        </w:rPr>
      </w:pPr>
    </w:p>
    <w:p w14:paraId="560D4468" w14:textId="77777777" w:rsidR="007F1B17" w:rsidRPr="0069519A" w:rsidRDefault="007F1B17" w:rsidP="007F1B17">
      <w:pPr>
        <w:pStyle w:val="WPNormal"/>
        <w:jc w:val="center"/>
        <w:rPr>
          <w:rFonts w:ascii="Arial" w:hAnsi="Arial" w:cs="Arial"/>
        </w:rPr>
      </w:pPr>
      <w:r>
        <w:rPr>
          <w:rFonts w:ascii="Arial" w:hAnsi="Arial" w:cs="Arial"/>
        </w:rPr>
        <w:t xml:space="preserve">Angus Housing Association Registered Charity Number SC020981  </w:t>
      </w:r>
    </w:p>
    <w:p w14:paraId="019B9B64" w14:textId="77777777" w:rsidR="00F3261D" w:rsidRDefault="00F3261D" w:rsidP="00C75813">
      <w:pPr>
        <w:rPr>
          <w:b/>
          <w:sz w:val="32"/>
          <w:szCs w:val="32"/>
          <w:u w:val="single"/>
        </w:rPr>
      </w:pPr>
    </w:p>
    <w:p w14:paraId="6A4600E4" w14:textId="1A9D1D8C" w:rsidR="000E0538" w:rsidRDefault="000E0538" w:rsidP="00077670">
      <w:pPr>
        <w:jc w:val="center"/>
        <w:rPr>
          <w:b/>
          <w:sz w:val="32"/>
          <w:szCs w:val="32"/>
          <w:u w:val="single"/>
        </w:rPr>
      </w:pPr>
    </w:p>
    <w:p w14:paraId="18833ADC" w14:textId="379A5F5D" w:rsidR="000E0538" w:rsidRDefault="000E0538" w:rsidP="00B4728A">
      <w:pPr>
        <w:jc w:val="center"/>
        <w:rPr>
          <w:b/>
          <w:sz w:val="32"/>
          <w:szCs w:val="32"/>
          <w:u w:val="single"/>
        </w:rPr>
      </w:pPr>
    </w:p>
    <w:p w14:paraId="384953AB" w14:textId="701B9BA3" w:rsidR="00112EBD" w:rsidRDefault="00112EBD" w:rsidP="00B4728A">
      <w:pPr>
        <w:jc w:val="center"/>
        <w:rPr>
          <w:b/>
          <w:sz w:val="32"/>
          <w:szCs w:val="32"/>
          <w:u w:val="single"/>
        </w:rPr>
      </w:pPr>
    </w:p>
    <w:p w14:paraId="6E2EB838" w14:textId="115E2DDD" w:rsidR="00112EBD" w:rsidRDefault="00112EBD" w:rsidP="00B4728A">
      <w:pPr>
        <w:jc w:val="center"/>
        <w:rPr>
          <w:b/>
          <w:sz w:val="32"/>
          <w:szCs w:val="32"/>
          <w:u w:val="single"/>
        </w:rPr>
      </w:pPr>
    </w:p>
    <w:p w14:paraId="651231F4" w14:textId="0613401A" w:rsidR="00112EBD" w:rsidRDefault="00112EBD" w:rsidP="00B4728A">
      <w:pPr>
        <w:jc w:val="center"/>
        <w:rPr>
          <w:b/>
          <w:sz w:val="32"/>
          <w:szCs w:val="32"/>
          <w:u w:val="single"/>
        </w:rPr>
      </w:pPr>
    </w:p>
    <w:p w14:paraId="2B8ECC7C" w14:textId="20477CE0" w:rsidR="00112EBD" w:rsidRDefault="00112EBD" w:rsidP="00B4728A">
      <w:pPr>
        <w:jc w:val="center"/>
        <w:rPr>
          <w:b/>
          <w:sz w:val="32"/>
          <w:szCs w:val="32"/>
          <w:u w:val="single"/>
        </w:rPr>
      </w:pPr>
    </w:p>
    <w:p w14:paraId="4BFE8B56" w14:textId="77777777" w:rsidR="00397B05" w:rsidRDefault="00397B05" w:rsidP="00B4728A">
      <w:pPr>
        <w:jc w:val="center"/>
        <w:rPr>
          <w:b/>
          <w:sz w:val="32"/>
          <w:szCs w:val="32"/>
          <w:u w:val="single"/>
        </w:rPr>
      </w:pPr>
    </w:p>
    <w:p w14:paraId="12DA98D4" w14:textId="77777777" w:rsidR="00397B05" w:rsidRDefault="00397B05" w:rsidP="00B4728A">
      <w:pPr>
        <w:jc w:val="center"/>
        <w:rPr>
          <w:b/>
          <w:sz w:val="32"/>
          <w:szCs w:val="32"/>
          <w:u w:val="single"/>
        </w:rPr>
      </w:pPr>
    </w:p>
    <w:p w14:paraId="2D9A104E" w14:textId="77777777" w:rsidR="00397B05" w:rsidRDefault="00397B05" w:rsidP="00B4728A">
      <w:pPr>
        <w:jc w:val="center"/>
        <w:rPr>
          <w:b/>
          <w:sz w:val="32"/>
          <w:szCs w:val="32"/>
          <w:u w:val="single"/>
        </w:rPr>
      </w:pPr>
    </w:p>
    <w:p w14:paraId="13C47C13" w14:textId="77777777" w:rsidR="00397B05" w:rsidRDefault="00397B05" w:rsidP="00B4728A">
      <w:pPr>
        <w:jc w:val="center"/>
        <w:rPr>
          <w:b/>
          <w:sz w:val="32"/>
          <w:szCs w:val="32"/>
          <w:u w:val="single"/>
        </w:rPr>
      </w:pPr>
    </w:p>
    <w:p w14:paraId="579F8FCE" w14:textId="77777777" w:rsidR="00397B05" w:rsidRDefault="00397B05" w:rsidP="00B4728A">
      <w:pPr>
        <w:jc w:val="center"/>
        <w:rPr>
          <w:b/>
          <w:sz w:val="32"/>
          <w:szCs w:val="32"/>
          <w:u w:val="single"/>
        </w:rPr>
      </w:pPr>
    </w:p>
    <w:p w14:paraId="4394421A" w14:textId="77777777" w:rsidR="00397B05" w:rsidRDefault="00397B05" w:rsidP="00B4728A">
      <w:pPr>
        <w:jc w:val="center"/>
        <w:rPr>
          <w:b/>
          <w:sz w:val="32"/>
          <w:szCs w:val="32"/>
          <w:u w:val="single"/>
        </w:rPr>
      </w:pPr>
    </w:p>
    <w:p w14:paraId="2FE528F8" w14:textId="77777777" w:rsidR="00397B05" w:rsidRDefault="00397B05" w:rsidP="00B4728A">
      <w:pPr>
        <w:jc w:val="center"/>
        <w:rPr>
          <w:b/>
          <w:sz w:val="32"/>
          <w:szCs w:val="32"/>
          <w:u w:val="single"/>
        </w:rPr>
      </w:pPr>
    </w:p>
    <w:p w14:paraId="057F5856" w14:textId="77777777" w:rsidR="00397B05" w:rsidRDefault="00397B05" w:rsidP="00B4728A">
      <w:pPr>
        <w:jc w:val="center"/>
        <w:rPr>
          <w:b/>
          <w:sz w:val="32"/>
          <w:szCs w:val="32"/>
          <w:u w:val="single"/>
        </w:rPr>
      </w:pPr>
    </w:p>
    <w:p w14:paraId="39FFD94C" w14:textId="77777777" w:rsidR="00397B05" w:rsidRDefault="00397B05" w:rsidP="00B4728A">
      <w:pPr>
        <w:jc w:val="center"/>
        <w:rPr>
          <w:b/>
          <w:sz w:val="32"/>
          <w:szCs w:val="32"/>
          <w:u w:val="single"/>
        </w:rPr>
      </w:pPr>
    </w:p>
    <w:p w14:paraId="5D814066" w14:textId="77777777" w:rsidR="00397B05" w:rsidRDefault="00397B05" w:rsidP="00B4728A">
      <w:pPr>
        <w:jc w:val="center"/>
        <w:rPr>
          <w:b/>
          <w:sz w:val="32"/>
          <w:szCs w:val="32"/>
          <w:u w:val="single"/>
        </w:rPr>
      </w:pPr>
    </w:p>
    <w:p w14:paraId="39BE4AE3" w14:textId="77777777" w:rsidR="00397B05" w:rsidRDefault="00397B05" w:rsidP="00B4728A">
      <w:pPr>
        <w:jc w:val="center"/>
        <w:rPr>
          <w:b/>
          <w:sz w:val="32"/>
          <w:szCs w:val="32"/>
          <w:u w:val="single"/>
        </w:rPr>
      </w:pPr>
    </w:p>
    <w:p w14:paraId="79709E41" w14:textId="77777777" w:rsidR="00397B05" w:rsidRDefault="00397B05" w:rsidP="00B4728A">
      <w:pPr>
        <w:jc w:val="center"/>
        <w:rPr>
          <w:b/>
          <w:sz w:val="32"/>
          <w:szCs w:val="32"/>
          <w:u w:val="single"/>
        </w:rPr>
      </w:pPr>
    </w:p>
    <w:p w14:paraId="31D40328" w14:textId="77777777" w:rsidR="00397B05" w:rsidRDefault="00397B05" w:rsidP="00B4728A">
      <w:pPr>
        <w:jc w:val="center"/>
        <w:rPr>
          <w:b/>
          <w:sz w:val="32"/>
          <w:szCs w:val="32"/>
          <w:u w:val="single"/>
        </w:rPr>
      </w:pPr>
    </w:p>
    <w:p w14:paraId="1BDF8D28" w14:textId="77777777" w:rsidR="00397B05" w:rsidRDefault="00397B05" w:rsidP="00B4728A">
      <w:pPr>
        <w:jc w:val="center"/>
        <w:rPr>
          <w:b/>
          <w:sz w:val="32"/>
          <w:szCs w:val="32"/>
          <w:u w:val="single"/>
        </w:rPr>
      </w:pPr>
    </w:p>
    <w:p w14:paraId="5AD39B84" w14:textId="77777777" w:rsidR="00397B05" w:rsidRDefault="00397B05" w:rsidP="00B4728A">
      <w:pPr>
        <w:jc w:val="center"/>
        <w:rPr>
          <w:b/>
          <w:sz w:val="32"/>
          <w:szCs w:val="32"/>
          <w:u w:val="single"/>
        </w:rPr>
      </w:pPr>
    </w:p>
    <w:p w14:paraId="7B9977C3" w14:textId="77777777" w:rsidR="00397B05" w:rsidRDefault="00397B05" w:rsidP="00B4728A">
      <w:pPr>
        <w:jc w:val="center"/>
        <w:rPr>
          <w:b/>
          <w:sz w:val="32"/>
          <w:szCs w:val="32"/>
          <w:u w:val="single"/>
        </w:rPr>
      </w:pPr>
    </w:p>
    <w:p w14:paraId="5CCD8E58" w14:textId="77777777" w:rsidR="00397B05" w:rsidRDefault="00397B05" w:rsidP="00B4728A">
      <w:pPr>
        <w:jc w:val="center"/>
        <w:rPr>
          <w:b/>
          <w:sz w:val="32"/>
          <w:szCs w:val="32"/>
          <w:u w:val="single"/>
        </w:rPr>
      </w:pPr>
    </w:p>
    <w:p w14:paraId="667308DB" w14:textId="77777777" w:rsidR="00397B05" w:rsidRDefault="00397B05" w:rsidP="00B4728A">
      <w:pPr>
        <w:jc w:val="center"/>
        <w:rPr>
          <w:b/>
          <w:sz w:val="32"/>
          <w:szCs w:val="32"/>
          <w:u w:val="single"/>
        </w:rPr>
      </w:pPr>
    </w:p>
    <w:p w14:paraId="18E3CF7F" w14:textId="77777777" w:rsidR="00397B05" w:rsidRDefault="00397B05" w:rsidP="00B4728A">
      <w:pPr>
        <w:jc w:val="center"/>
        <w:rPr>
          <w:b/>
          <w:sz w:val="32"/>
          <w:szCs w:val="32"/>
          <w:u w:val="single"/>
        </w:rPr>
      </w:pPr>
    </w:p>
    <w:p w14:paraId="5634F92E" w14:textId="77777777" w:rsidR="00397B05" w:rsidRDefault="00397B05" w:rsidP="00B4728A">
      <w:pPr>
        <w:jc w:val="center"/>
        <w:rPr>
          <w:b/>
          <w:sz w:val="32"/>
          <w:szCs w:val="32"/>
          <w:u w:val="single"/>
        </w:rPr>
      </w:pPr>
    </w:p>
    <w:p w14:paraId="75E80C1C" w14:textId="77777777" w:rsidR="00397B05" w:rsidRDefault="00397B05" w:rsidP="00B4728A">
      <w:pPr>
        <w:jc w:val="center"/>
        <w:rPr>
          <w:b/>
          <w:sz w:val="32"/>
          <w:szCs w:val="32"/>
          <w:u w:val="single"/>
        </w:rPr>
      </w:pPr>
    </w:p>
    <w:p w14:paraId="559A4D35" w14:textId="77777777" w:rsidR="00397B05" w:rsidRDefault="00397B05" w:rsidP="00B4728A">
      <w:pPr>
        <w:jc w:val="center"/>
        <w:rPr>
          <w:b/>
          <w:sz w:val="32"/>
          <w:szCs w:val="32"/>
          <w:u w:val="single"/>
        </w:rPr>
      </w:pPr>
    </w:p>
    <w:p w14:paraId="718E7051" w14:textId="0077D68E" w:rsidR="00112EBD" w:rsidRDefault="00112EBD" w:rsidP="00B4728A">
      <w:pPr>
        <w:jc w:val="center"/>
        <w:rPr>
          <w:b/>
          <w:sz w:val="32"/>
          <w:szCs w:val="32"/>
          <w:u w:val="single"/>
        </w:rPr>
      </w:pPr>
    </w:p>
    <w:p w14:paraId="106EB445" w14:textId="020674C4" w:rsidR="00112EBD" w:rsidRDefault="00112EBD" w:rsidP="00B4728A">
      <w:pPr>
        <w:jc w:val="center"/>
        <w:rPr>
          <w:b/>
          <w:sz w:val="32"/>
          <w:szCs w:val="32"/>
          <w:u w:val="single"/>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3402"/>
      </w:tblGrid>
      <w:tr w:rsidR="00C9392A" w:rsidRPr="00C9392A" w14:paraId="2AA32DE7" w14:textId="77777777" w:rsidTr="00F85967">
        <w:tc>
          <w:tcPr>
            <w:tcW w:w="5778" w:type="dxa"/>
            <w:tcBorders>
              <w:top w:val="single" w:sz="4" w:space="0" w:color="auto"/>
              <w:left w:val="single" w:sz="4" w:space="0" w:color="auto"/>
              <w:right w:val="single" w:sz="4" w:space="0" w:color="auto"/>
            </w:tcBorders>
          </w:tcPr>
          <w:p w14:paraId="395D558B" w14:textId="77777777" w:rsidR="00C9392A" w:rsidRPr="00C9392A" w:rsidRDefault="00C9392A" w:rsidP="00C9392A">
            <w:pPr>
              <w:keepNext/>
              <w:jc w:val="center"/>
              <w:outlineLvl w:val="1"/>
              <w:rPr>
                <w:b/>
                <w:szCs w:val="22"/>
                <w:lang w:val="en-GB"/>
              </w:rPr>
            </w:pPr>
            <w:r w:rsidRPr="00C9392A">
              <w:rPr>
                <w:b/>
                <w:szCs w:val="22"/>
                <w:lang w:val="en-GB"/>
              </w:rPr>
              <w:lastRenderedPageBreak/>
              <w:t xml:space="preserve">Scottish Social Housing Charter </w:t>
            </w:r>
          </w:p>
          <w:p w14:paraId="4CA77A6E" w14:textId="77777777" w:rsidR="00C9392A" w:rsidRPr="00C9392A" w:rsidRDefault="00C9392A" w:rsidP="00C9392A">
            <w:pPr>
              <w:keepNext/>
              <w:jc w:val="center"/>
              <w:outlineLvl w:val="1"/>
              <w:rPr>
                <w:bCs/>
                <w:sz w:val="22"/>
                <w:szCs w:val="22"/>
                <w:lang w:val="en-GB"/>
              </w:rPr>
            </w:pPr>
            <w:r w:rsidRPr="00C9392A">
              <w:rPr>
                <w:b/>
                <w:szCs w:val="22"/>
                <w:lang w:val="en-GB"/>
              </w:rPr>
              <w:t>Outcomes</w:t>
            </w:r>
          </w:p>
        </w:tc>
        <w:tc>
          <w:tcPr>
            <w:tcW w:w="3402" w:type="dxa"/>
            <w:tcBorders>
              <w:top w:val="single" w:sz="4" w:space="0" w:color="auto"/>
              <w:left w:val="single" w:sz="4" w:space="0" w:color="auto"/>
              <w:right w:val="single" w:sz="4" w:space="0" w:color="auto"/>
            </w:tcBorders>
          </w:tcPr>
          <w:p w14:paraId="5010ABFF" w14:textId="77777777" w:rsidR="00C9392A" w:rsidRPr="00C9392A" w:rsidRDefault="00C9392A" w:rsidP="00C9392A">
            <w:pPr>
              <w:keepNext/>
              <w:outlineLvl w:val="0"/>
              <w:rPr>
                <w:szCs w:val="22"/>
                <w:lang w:val="en-GB"/>
              </w:rPr>
            </w:pPr>
            <w:r w:rsidRPr="00C9392A">
              <w:rPr>
                <w:szCs w:val="22"/>
                <w:lang w:val="en-GB"/>
              </w:rPr>
              <w:t>Number(s)</w:t>
            </w:r>
          </w:p>
        </w:tc>
      </w:tr>
      <w:tr w:rsidR="00C9392A" w:rsidRPr="00C9392A" w14:paraId="6EDC44BE" w14:textId="77777777" w:rsidTr="00F85967">
        <w:tc>
          <w:tcPr>
            <w:tcW w:w="5778" w:type="dxa"/>
            <w:tcBorders>
              <w:left w:val="single" w:sz="4" w:space="0" w:color="auto"/>
            </w:tcBorders>
          </w:tcPr>
          <w:p w14:paraId="5124CFB5" w14:textId="77777777" w:rsidR="00C9392A" w:rsidRPr="00C9392A" w:rsidRDefault="00C9392A" w:rsidP="00C9392A">
            <w:pPr>
              <w:keepNext/>
              <w:jc w:val="center"/>
              <w:outlineLvl w:val="1"/>
              <w:rPr>
                <w:b/>
                <w:szCs w:val="22"/>
                <w:lang w:val="en-GB"/>
              </w:rPr>
            </w:pPr>
            <w:r w:rsidRPr="00C9392A">
              <w:rPr>
                <w:b/>
                <w:szCs w:val="22"/>
                <w:lang w:val="en-GB"/>
              </w:rPr>
              <w:t xml:space="preserve">     The Customer/landlord relationship</w:t>
            </w:r>
          </w:p>
        </w:tc>
        <w:tc>
          <w:tcPr>
            <w:tcW w:w="3402" w:type="dxa"/>
            <w:tcBorders>
              <w:right w:val="single" w:sz="4" w:space="0" w:color="auto"/>
            </w:tcBorders>
          </w:tcPr>
          <w:p w14:paraId="0C4135F6" w14:textId="77777777" w:rsidR="00C9392A" w:rsidRPr="00C9392A" w:rsidRDefault="00C9392A" w:rsidP="00C9392A">
            <w:pPr>
              <w:rPr>
                <w:rFonts w:cs="Times New Roman"/>
                <w:lang w:val="en-GB" w:bidi="ar-SA"/>
              </w:rPr>
            </w:pPr>
            <w:r w:rsidRPr="00C9392A">
              <w:rPr>
                <w:rFonts w:cs="Times New Roman"/>
                <w:lang w:val="en-GB" w:bidi="ar-SA"/>
              </w:rPr>
              <w:t xml:space="preserve">1.Equalities  </w:t>
            </w:r>
          </w:p>
          <w:p w14:paraId="3CBFE4BA" w14:textId="77777777" w:rsidR="00C9392A" w:rsidRPr="00C9392A" w:rsidRDefault="00C9392A" w:rsidP="00C9392A">
            <w:pPr>
              <w:rPr>
                <w:rFonts w:cs="Times New Roman"/>
                <w:lang w:val="en-GB" w:bidi="ar-SA"/>
              </w:rPr>
            </w:pPr>
            <w:r w:rsidRPr="00C9392A">
              <w:rPr>
                <w:rFonts w:cs="Times New Roman"/>
                <w:lang w:val="en-GB" w:bidi="ar-SA"/>
              </w:rPr>
              <w:t>2.Communication</w:t>
            </w:r>
          </w:p>
          <w:p w14:paraId="28B67C8D" w14:textId="77777777" w:rsidR="00C9392A" w:rsidRPr="00C9392A" w:rsidRDefault="00C9392A" w:rsidP="00C9392A">
            <w:pPr>
              <w:rPr>
                <w:rFonts w:cs="Times New Roman"/>
                <w:lang w:val="en-GB" w:bidi="ar-SA"/>
              </w:rPr>
            </w:pPr>
            <w:r w:rsidRPr="00C9392A">
              <w:rPr>
                <w:rFonts w:cs="Times New Roman"/>
                <w:lang w:val="en-GB" w:bidi="ar-SA"/>
              </w:rPr>
              <w:t>3.Participation</w:t>
            </w:r>
          </w:p>
          <w:p w14:paraId="7BD503E9" w14:textId="77777777" w:rsidR="00C9392A" w:rsidRPr="00C9392A" w:rsidRDefault="00C9392A" w:rsidP="00C9392A">
            <w:pPr>
              <w:rPr>
                <w:rFonts w:cs="Times New Roman"/>
                <w:lang w:val="en-GB" w:bidi="ar-SA"/>
              </w:rPr>
            </w:pPr>
            <w:r w:rsidRPr="00C9392A">
              <w:rPr>
                <w:rFonts w:cs="Times New Roman"/>
                <w:lang w:val="en-GB" w:bidi="ar-SA"/>
              </w:rPr>
              <w:t>4.Quality of Housing</w:t>
            </w:r>
          </w:p>
          <w:p w14:paraId="360407EB" w14:textId="77777777" w:rsidR="00C9392A" w:rsidRPr="00C9392A" w:rsidRDefault="00C9392A" w:rsidP="00C9392A">
            <w:pPr>
              <w:rPr>
                <w:rFonts w:cs="Times New Roman"/>
                <w:lang w:val="en-GB" w:bidi="ar-SA"/>
              </w:rPr>
            </w:pPr>
            <w:r w:rsidRPr="00C9392A">
              <w:rPr>
                <w:rFonts w:cs="Times New Roman"/>
                <w:lang w:val="en-GB" w:bidi="ar-SA"/>
              </w:rPr>
              <w:t xml:space="preserve">5.Repairs, </w:t>
            </w:r>
            <w:proofErr w:type="gramStart"/>
            <w:r w:rsidRPr="00C9392A">
              <w:rPr>
                <w:rFonts w:cs="Times New Roman"/>
                <w:lang w:val="en-GB" w:bidi="ar-SA"/>
              </w:rPr>
              <w:t>Maintenance</w:t>
            </w:r>
            <w:proofErr w:type="gramEnd"/>
            <w:r w:rsidRPr="00C9392A">
              <w:rPr>
                <w:rFonts w:cs="Times New Roman"/>
                <w:lang w:val="en-GB" w:bidi="ar-SA"/>
              </w:rPr>
              <w:t xml:space="preserve"> and Improvements</w:t>
            </w:r>
          </w:p>
          <w:p w14:paraId="53B08907" w14:textId="77777777" w:rsidR="00C9392A" w:rsidRPr="00C9392A" w:rsidRDefault="00C9392A" w:rsidP="00C9392A">
            <w:pPr>
              <w:rPr>
                <w:rFonts w:cs="Times New Roman"/>
                <w:lang w:val="en-GB" w:bidi="ar-SA"/>
              </w:rPr>
            </w:pPr>
            <w:r w:rsidRPr="00C9392A">
              <w:rPr>
                <w:rFonts w:cs="Times New Roman"/>
                <w:lang w:val="en-GB" w:bidi="ar-SA"/>
              </w:rPr>
              <w:t>6. Estate Management, Anti-Social Behaviour, Neighbour Nuisance and Tenancy Disputes</w:t>
            </w:r>
          </w:p>
          <w:p w14:paraId="3685B666" w14:textId="77777777" w:rsidR="00C9392A" w:rsidRPr="00C9392A" w:rsidRDefault="00C9392A" w:rsidP="00C9392A">
            <w:pPr>
              <w:rPr>
                <w:rFonts w:cs="Times New Roman"/>
                <w:lang w:val="en-GB" w:bidi="ar-SA"/>
              </w:rPr>
            </w:pPr>
            <w:r w:rsidRPr="00C9392A">
              <w:rPr>
                <w:rFonts w:cs="Times New Roman"/>
                <w:lang w:val="en-GB" w:bidi="ar-SA"/>
              </w:rPr>
              <w:t>7,8 &amp; 9 Housing Options</w:t>
            </w:r>
          </w:p>
          <w:p w14:paraId="42B32D43" w14:textId="77777777" w:rsidR="00C9392A" w:rsidRPr="00C9392A" w:rsidRDefault="00C9392A" w:rsidP="00C9392A">
            <w:pPr>
              <w:rPr>
                <w:rFonts w:cs="Times New Roman"/>
                <w:lang w:val="en-GB" w:bidi="ar-SA"/>
              </w:rPr>
            </w:pPr>
            <w:r w:rsidRPr="00C9392A">
              <w:rPr>
                <w:rFonts w:cs="Times New Roman"/>
                <w:lang w:val="en-GB" w:bidi="ar-SA"/>
              </w:rPr>
              <w:t>11. Tenancy Sustainment</w:t>
            </w:r>
          </w:p>
        </w:tc>
      </w:tr>
    </w:tbl>
    <w:p w14:paraId="13463253" w14:textId="77777777" w:rsidR="00C9392A" w:rsidRPr="00C9392A" w:rsidRDefault="00C9392A" w:rsidP="00C9392A">
      <w:pPr>
        <w:widowControl w:val="0"/>
        <w:rPr>
          <w:rFonts w:cs="Arial"/>
          <w:b/>
          <w:snapToGrid w:val="0"/>
          <w:szCs w:val="20"/>
          <w:lang w:val="en-GB" w:eastAsia="en-US" w:bidi="ar-SA"/>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3402"/>
      </w:tblGrid>
      <w:tr w:rsidR="00C9392A" w:rsidRPr="00C9392A" w14:paraId="1317166C" w14:textId="77777777" w:rsidTr="00F85967">
        <w:tc>
          <w:tcPr>
            <w:tcW w:w="5778" w:type="dxa"/>
          </w:tcPr>
          <w:p w14:paraId="07055307" w14:textId="77777777" w:rsidR="00C9392A" w:rsidRPr="00C9392A" w:rsidRDefault="00C9392A" w:rsidP="00C9392A">
            <w:pPr>
              <w:keepNext/>
              <w:outlineLvl w:val="1"/>
              <w:rPr>
                <w:rFonts w:cs="Arial"/>
                <w:b/>
                <w:szCs w:val="20"/>
                <w:lang w:val="en-GB" w:eastAsia="en-US" w:bidi="ar-SA"/>
              </w:rPr>
            </w:pPr>
            <w:r w:rsidRPr="00C9392A">
              <w:rPr>
                <w:rFonts w:cs="Arial"/>
                <w:b/>
                <w:szCs w:val="20"/>
                <w:lang w:val="en-GB" w:eastAsia="en-US" w:bidi="ar-SA"/>
              </w:rPr>
              <w:t>Written By</w:t>
            </w:r>
          </w:p>
          <w:p w14:paraId="724EE1D9" w14:textId="77777777" w:rsidR="00C9392A" w:rsidRPr="00C9392A" w:rsidRDefault="00C9392A" w:rsidP="00C9392A">
            <w:pPr>
              <w:keepNext/>
              <w:outlineLvl w:val="1"/>
              <w:rPr>
                <w:rFonts w:cs="Arial"/>
                <w:szCs w:val="20"/>
                <w:u w:val="single"/>
                <w:lang w:val="en-GB" w:eastAsia="en-US" w:bidi="ar-SA"/>
              </w:rPr>
            </w:pPr>
          </w:p>
        </w:tc>
        <w:tc>
          <w:tcPr>
            <w:tcW w:w="3402" w:type="dxa"/>
          </w:tcPr>
          <w:p w14:paraId="573B2569" w14:textId="77777777" w:rsidR="00C9392A" w:rsidRPr="005938F9" w:rsidRDefault="00C9392A" w:rsidP="00C9392A">
            <w:pPr>
              <w:rPr>
                <w:rFonts w:cs="Arial"/>
                <w:bCs/>
                <w:szCs w:val="20"/>
                <w:lang w:eastAsia="en-US" w:bidi="ar-SA"/>
              </w:rPr>
            </w:pPr>
            <w:r w:rsidRPr="005938F9">
              <w:rPr>
                <w:rFonts w:cs="Arial"/>
                <w:bCs/>
                <w:szCs w:val="20"/>
                <w:lang w:eastAsia="en-US" w:bidi="ar-SA"/>
              </w:rPr>
              <w:t>Linlay Anderson</w:t>
            </w:r>
          </w:p>
        </w:tc>
      </w:tr>
      <w:tr w:rsidR="00C9392A" w:rsidRPr="00C9392A" w14:paraId="4CE09451" w14:textId="77777777" w:rsidTr="00F85967">
        <w:tc>
          <w:tcPr>
            <w:tcW w:w="5778" w:type="dxa"/>
          </w:tcPr>
          <w:p w14:paraId="77C3E893" w14:textId="77777777" w:rsidR="00C9392A" w:rsidRPr="00C9392A" w:rsidRDefault="00C9392A" w:rsidP="00C9392A">
            <w:pPr>
              <w:keepNext/>
              <w:outlineLvl w:val="1"/>
              <w:rPr>
                <w:rFonts w:cs="Arial"/>
                <w:b/>
                <w:szCs w:val="20"/>
                <w:lang w:val="en-GB" w:eastAsia="en-US" w:bidi="ar-SA"/>
              </w:rPr>
            </w:pPr>
            <w:r w:rsidRPr="00C9392A">
              <w:rPr>
                <w:rFonts w:cs="Arial"/>
                <w:b/>
                <w:szCs w:val="20"/>
                <w:lang w:val="en-GB" w:eastAsia="en-US" w:bidi="ar-SA"/>
              </w:rPr>
              <w:t>Department</w:t>
            </w:r>
          </w:p>
          <w:p w14:paraId="31BE4A36" w14:textId="77777777" w:rsidR="00C9392A" w:rsidRPr="00C9392A" w:rsidRDefault="00C9392A" w:rsidP="00C9392A">
            <w:pPr>
              <w:keepNext/>
              <w:outlineLvl w:val="1"/>
              <w:rPr>
                <w:rFonts w:cs="Arial"/>
                <w:szCs w:val="20"/>
                <w:u w:val="single"/>
                <w:lang w:val="en-GB" w:eastAsia="en-US" w:bidi="ar-SA"/>
              </w:rPr>
            </w:pPr>
          </w:p>
        </w:tc>
        <w:tc>
          <w:tcPr>
            <w:tcW w:w="3402" w:type="dxa"/>
          </w:tcPr>
          <w:p w14:paraId="6C31C85D" w14:textId="77777777" w:rsidR="00C9392A" w:rsidRPr="005938F9" w:rsidRDefault="00C9392A" w:rsidP="00C9392A">
            <w:pPr>
              <w:rPr>
                <w:rFonts w:cs="Arial"/>
                <w:bCs/>
                <w:szCs w:val="20"/>
                <w:lang w:eastAsia="en-US" w:bidi="ar-SA"/>
              </w:rPr>
            </w:pPr>
            <w:r w:rsidRPr="005938F9">
              <w:rPr>
                <w:rFonts w:cs="Arial"/>
                <w:bCs/>
                <w:szCs w:val="20"/>
                <w:lang w:eastAsia="en-US" w:bidi="ar-SA"/>
              </w:rPr>
              <w:t>Housing Management</w:t>
            </w:r>
          </w:p>
        </w:tc>
      </w:tr>
    </w:tbl>
    <w:p w14:paraId="5EA6BD11" w14:textId="77777777" w:rsidR="00C9392A" w:rsidRPr="00C9392A" w:rsidRDefault="00C9392A" w:rsidP="00C9392A">
      <w:pPr>
        <w:widowControl w:val="0"/>
        <w:rPr>
          <w:rFonts w:cs="Arial"/>
          <w:b/>
          <w:snapToGrid w:val="0"/>
          <w:szCs w:val="20"/>
          <w:lang w:val="en-GB" w:eastAsia="en-US" w:bidi="ar-SA"/>
        </w:rPr>
      </w:pPr>
    </w:p>
    <w:tbl>
      <w:tblPr>
        <w:tblW w:w="9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3458"/>
      </w:tblGrid>
      <w:tr w:rsidR="00C9392A" w:rsidRPr="00C9392A" w14:paraId="358B568D" w14:textId="77777777" w:rsidTr="00F85967">
        <w:tc>
          <w:tcPr>
            <w:tcW w:w="5778" w:type="dxa"/>
          </w:tcPr>
          <w:p w14:paraId="3DB0269E" w14:textId="77777777" w:rsidR="00C9392A" w:rsidRPr="00C9392A" w:rsidRDefault="00C9392A" w:rsidP="00C9392A">
            <w:pPr>
              <w:keepNext/>
              <w:outlineLvl w:val="1"/>
              <w:rPr>
                <w:rFonts w:cs="Arial"/>
                <w:b/>
                <w:szCs w:val="20"/>
                <w:lang w:val="en-GB" w:eastAsia="en-US" w:bidi="ar-SA"/>
              </w:rPr>
            </w:pPr>
            <w:r w:rsidRPr="00C9392A">
              <w:rPr>
                <w:rFonts w:cs="Arial"/>
                <w:b/>
                <w:szCs w:val="20"/>
                <w:lang w:val="en-GB" w:eastAsia="en-US" w:bidi="ar-SA"/>
              </w:rPr>
              <w:t>Approval Date by Committee</w:t>
            </w:r>
          </w:p>
          <w:p w14:paraId="29C65564" w14:textId="77777777" w:rsidR="00C9392A" w:rsidRPr="00C9392A" w:rsidRDefault="00C9392A" w:rsidP="00C9392A">
            <w:pPr>
              <w:rPr>
                <w:rFonts w:cs="Arial"/>
                <w:b/>
                <w:szCs w:val="20"/>
                <w:lang w:eastAsia="en-US" w:bidi="ar-SA"/>
              </w:rPr>
            </w:pPr>
          </w:p>
        </w:tc>
        <w:tc>
          <w:tcPr>
            <w:tcW w:w="3458" w:type="dxa"/>
          </w:tcPr>
          <w:p w14:paraId="38C69693" w14:textId="3D42F70A" w:rsidR="00C9392A" w:rsidRPr="005938F9" w:rsidRDefault="005938F9" w:rsidP="00C9392A">
            <w:pPr>
              <w:rPr>
                <w:rFonts w:cs="Arial"/>
                <w:bCs/>
                <w:szCs w:val="20"/>
                <w:lang w:eastAsia="en-US" w:bidi="ar-SA"/>
              </w:rPr>
            </w:pPr>
            <w:r w:rsidRPr="005938F9">
              <w:rPr>
                <w:rFonts w:cs="Arial"/>
                <w:bCs/>
                <w:szCs w:val="20"/>
                <w:lang w:eastAsia="en-US" w:bidi="ar-SA"/>
              </w:rPr>
              <w:t>8</w:t>
            </w:r>
            <w:r w:rsidRPr="005938F9">
              <w:rPr>
                <w:rFonts w:cs="Arial"/>
                <w:bCs/>
                <w:szCs w:val="20"/>
                <w:vertAlign w:val="superscript"/>
                <w:lang w:eastAsia="en-US" w:bidi="ar-SA"/>
              </w:rPr>
              <w:t>th</w:t>
            </w:r>
            <w:r w:rsidRPr="005938F9">
              <w:rPr>
                <w:rFonts w:cs="Arial"/>
                <w:bCs/>
                <w:szCs w:val="20"/>
                <w:lang w:eastAsia="en-US" w:bidi="ar-SA"/>
              </w:rPr>
              <w:t xml:space="preserve"> February 2023</w:t>
            </w:r>
          </w:p>
        </w:tc>
      </w:tr>
    </w:tbl>
    <w:p w14:paraId="3D842E33" w14:textId="77777777" w:rsidR="00C9392A" w:rsidRPr="00C9392A" w:rsidRDefault="00C9392A" w:rsidP="00C9392A">
      <w:pPr>
        <w:rPr>
          <w:rFonts w:cs="Arial"/>
          <w:b/>
          <w:szCs w:val="20"/>
          <w:lang w:eastAsia="en-US" w:bidi="ar-SA"/>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0"/>
        <w:gridCol w:w="3464"/>
      </w:tblGrid>
      <w:tr w:rsidR="00C9392A" w:rsidRPr="00C9392A" w14:paraId="404D6B83" w14:textId="77777777" w:rsidTr="00F85967">
        <w:tc>
          <w:tcPr>
            <w:tcW w:w="5760" w:type="dxa"/>
            <w:tcBorders>
              <w:bottom w:val="nil"/>
            </w:tcBorders>
          </w:tcPr>
          <w:p w14:paraId="12ED1F3D" w14:textId="77777777" w:rsidR="00C9392A" w:rsidRPr="00C9392A" w:rsidRDefault="00C9392A" w:rsidP="00C9392A">
            <w:pPr>
              <w:rPr>
                <w:rFonts w:cs="Arial"/>
                <w:b/>
                <w:szCs w:val="20"/>
                <w:lang w:eastAsia="en-US" w:bidi="ar-SA"/>
              </w:rPr>
            </w:pPr>
            <w:r w:rsidRPr="00C9392A">
              <w:rPr>
                <w:rFonts w:cs="Arial"/>
                <w:b/>
                <w:szCs w:val="20"/>
                <w:lang w:eastAsia="en-US" w:bidi="ar-SA"/>
              </w:rPr>
              <w:t>Notes</w:t>
            </w:r>
          </w:p>
        </w:tc>
        <w:tc>
          <w:tcPr>
            <w:tcW w:w="3464" w:type="dxa"/>
            <w:tcBorders>
              <w:bottom w:val="nil"/>
            </w:tcBorders>
          </w:tcPr>
          <w:p w14:paraId="2DD4304B" w14:textId="77777777" w:rsidR="00C9392A" w:rsidRPr="00C9392A" w:rsidRDefault="00C9392A" w:rsidP="00C9392A">
            <w:pPr>
              <w:rPr>
                <w:rFonts w:cs="Arial"/>
                <w:b/>
                <w:szCs w:val="20"/>
                <w:lang w:eastAsia="en-US" w:bidi="ar-SA"/>
              </w:rPr>
            </w:pPr>
          </w:p>
        </w:tc>
      </w:tr>
      <w:tr w:rsidR="00C9392A" w:rsidRPr="00C9392A" w14:paraId="6CA8F920" w14:textId="77777777" w:rsidTr="00F85967">
        <w:trPr>
          <w:cantSplit/>
          <w:trHeight w:val="1100"/>
        </w:trPr>
        <w:tc>
          <w:tcPr>
            <w:tcW w:w="9224" w:type="dxa"/>
            <w:gridSpan w:val="2"/>
            <w:tcBorders>
              <w:top w:val="single" w:sz="4" w:space="0" w:color="auto"/>
              <w:left w:val="single" w:sz="4" w:space="0" w:color="auto"/>
              <w:bottom w:val="single" w:sz="4" w:space="0" w:color="auto"/>
              <w:right w:val="single" w:sz="4" w:space="0" w:color="auto"/>
            </w:tcBorders>
          </w:tcPr>
          <w:p w14:paraId="75225841" w14:textId="77777777" w:rsidR="00C9392A" w:rsidRPr="00C9392A" w:rsidRDefault="00C9392A" w:rsidP="00C9392A">
            <w:pPr>
              <w:rPr>
                <w:rFonts w:cs="Arial"/>
                <w:sz w:val="20"/>
                <w:szCs w:val="20"/>
                <w:lang w:eastAsia="en-US" w:bidi="ar-SA"/>
              </w:rPr>
            </w:pPr>
          </w:p>
          <w:p w14:paraId="41A0A362" w14:textId="77777777" w:rsidR="00C9392A" w:rsidRPr="00C9392A" w:rsidRDefault="00C9392A" w:rsidP="00C9392A">
            <w:pPr>
              <w:rPr>
                <w:rFonts w:cs="Arial"/>
                <w:sz w:val="20"/>
                <w:szCs w:val="20"/>
                <w:lang w:eastAsia="en-US" w:bidi="ar-SA"/>
              </w:rPr>
            </w:pPr>
            <w:r w:rsidRPr="00C9392A">
              <w:rPr>
                <w:rFonts w:cs="Arial"/>
                <w:sz w:val="20"/>
                <w:szCs w:val="20"/>
                <w:lang w:eastAsia="en-US" w:bidi="ar-SA"/>
              </w:rPr>
              <w:t>We will comply with all relevant legislation and associated regulations, including:</w:t>
            </w:r>
          </w:p>
          <w:p w14:paraId="4AA8C47D" w14:textId="77777777" w:rsidR="00C9392A" w:rsidRPr="00C9392A" w:rsidRDefault="00C9392A" w:rsidP="00C9392A">
            <w:pPr>
              <w:rPr>
                <w:rFonts w:cs="Arial"/>
                <w:sz w:val="20"/>
                <w:szCs w:val="20"/>
                <w:lang w:eastAsia="en-US" w:bidi="ar-SA"/>
              </w:rPr>
            </w:pPr>
          </w:p>
          <w:p w14:paraId="4786B9BD" w14:textId="578BEC0D" w:rsidR="00C9392A" w:rsidRPr="00C9392A" w:rsidRDefault="00C9392A" w:rsidP="00C9392A">
            <w:pPr>
              <w:rPr>
                <w:rFonts w:cs="Arial"/>
                <w:sz w:val="20"/>
                <w:szCs w:val="20"/>
                <w:lang w:eastAsia="en-US" w:bidi="ar-SA"/>
              </w:rPr>
            </w:pPr>
            <w:r w:rsidRPr="00C9392A">
              <w:rPr>
                <w:rFonts w:cs="Arial"/>
                <w:sz w:val="20"/>
                <w:szCs w:val="20"/>
                <w:lang w:eastAsia="en-US" w:bidi="ar-SA"/>
              </w:rPr>
              <w:t xml:space="preserve">The Housing (Scotland) Act 1987, 2001 </w:t>
            </w:r>
          </w:p>
          <w:p w14:paraId="169068B2" w14:textId="77777777" w:rsidR="00C9392A" w:rsidRPr="00C9392A" w:rsidRDefault="00C9392A" w:rsidP="00C9392A">
            <w:pPr>
              <w:rPr>
                <w:rFonts w:cs="Arial"/>
                <w:sz w:val="20"/>
                <w:szCs w:val="20"/>
                <w:lang w:eastAsia="en-US" w:bidi="ar-SA"/>
              </w:rPr>
            </w:pPr>
            <w:r w:rsidRPr="00C9392A">
              <w:rPr>
                <w:rFonts w:cs="Arial"/>
                <w:sz w:val="20"/>
                <w:szCs w:val="20"/>
                <w:lang w:eastAsia="en-US" w:bidi="ar-SA"/>
              </w:rPr>
              <w:t>The Homelessness etc (Scotland) Act 2003</w:t>
            </w:r>
          </w:p>
          <w:p w14:paraId="2C493691" w14:textId="08B65845" w:rsidR="00C9392A" w:rsidRPr="00C9392A" w:rsidRDefault="00C9392A" w:rsidP="00C9392A">
            <w:pPr>
              <w:rPr>
                <w:rFonts w:cs="Arial"/>
                <w:sz w:val="20"/>
                <w:szCs w:val="20"/>
                <w:lang w:eastAsia="en-US" w:bidi="ar-SA"/>
              </w:rPr>
            </w:pPr>
            <w:r w:rsidRPr="00C9392A">
              <w:rPr>
                <w:rFonts w:cs="Arial"/>
                <w:sz w:val="20"/>
                <w:szCs w:val="20"/>
                <w:lang w:eastAsia="en-US" w:bidi="ar-SA"/>
              </w:rPr>
              <w:t>Data Protection Act (199</w:t>
            </w:r>
            <w:r w:rsidR="004043E1">
              <w:rPr>
                <w:rFonts w:cs="Arial"/>
                <w:sz w:val="20"/>
                <w:szCs w:val="20"/>
                <w:lang w:eastAsia="en-US" w:bidi="ar-SA"/>
              </w:rPr>
              <w:t>8 and</w:t>
            </w:r>
            <w:r w:rsidR="005F1864">
              <w:rPr>
                <w:rFonts w:cs="Arial"/>
                <w:sz w:val="20"/>
                <w:szCs w:val="20"/>
                <w:lang w:eastAsia="en-US" w:bidi="ar-SA"/>
              </w:rPr>
              <w:t xml:space="preserve"> 2018)</w:t>
            </w:r>
          </w:p>
          <w:p w14:paraId="7E6C9C92" w14:textId="5ABEA251" w:rsidR="00C9392A" w:rsidRPr="00C9392A" w:rsidRDefault="00C9392A" w:rsidP="00C9392A">
            <w:pPr>
              <w:rPr>
                <w:rFonts w:cs="Arial"/>
                <w:sz w:val="20"/>
                <w:szCs w:val="20"/>
                <w:lang w:eastAsia="en-US" w:bidi="ar-SA"/>
              </w:rPr>
            </w:pPr>
          </w:p>
          <w:p w14:paraId="27BF8587" w14:textId="77777777" w:rsidR="00C9392A" w:rsidRPr="00C9392A" w:rsidRDefault="00C9392A" w:rsidP="00C9392A">
            <w:pPr>
              <w:rPr>
                <w:rFonts w:cs="Arial"/>
                <w:sz w:val="20"/>
                <w:szCs w:val="20"/>
                <w:lang w:eastAsia="en-US" w:bidi="ar-SA"/>
              </w:rPr>
            </w:pPr>
          </w:p>
          <w:p w14:paraId="79724283" w14:textId="77777777" w:rsidR="00C9392A" w:rsidRPr="00C9392A" w:rsidRDefault="00C9392A" w:rsidP="00C9392A">
            <w:pPr>
              <w:rPr>
                <w:rFonts w:cs="Arial"/>
                <w:sz w:val="20"/>
                <w:szCs w:val="20"/>
                <w:lang w:eastAsia="en-US" w:bidi="ar-SA"/>
              </w:rPr>
            </w:pPr>
            <w:r w:rsidRPr="00C9392A">
              <w:rPr>
                <w:rFonts w:cs="Arial"/>
                <w:sz w:val="20"/>
                <w:szCs w:val="20"/>
                <w:lang w:eastAsia="en-US" w:bidi="ar-SA"/>
              </w:rPr>
              <w:t>Reference made to the following sources and other guidance:</w:t>
            </w:r>
          </w:p>
          <w:p w14:paraId="2F6E9DD1" w14:textId="77777777" w:rsidR="00C9392A" w:rsidRPr="00C9392A" w:rsidRDefault="00C9392A" w:rsidP="00C9392A">
            <w:pPr>
              <w:rPr>
                <w:rFonts w:cs="Arial"/>
                <w:sz w:val="20"/>
                <w:szCs w:val="20"/>
                <w:lang w:eastAsia="en-US" w:bidi="ar-SA"/>
              </w:rPr>
            </w:pPr>
          </w:p>
          <w:p w14:paraId="4EF727D2" w14:textId="02F9B038" w:rsidR="00C9392A" w:rsidRPr="00C9392A" w:rsidRDefault="00C9392A" w:rsidP="00C9392A">
            <w:pPr>
              <w:rPr>
                <w:rFonts w:cs="Arial"/>
                <w:sz w:val="20"/>
                <w:szCs w:val="20"/>
                <w:lang w:eastAsia="en-US" w:bidi="ar-SA"/>
              </w:rPr>
            </w:pPr>
            <w:r w:rsidRPr="00C9392A">
              <w:rPr>
                <w:rFonts w:cs="Arial"/>
                <w:sz w:val="20"/>
                <w:szCs w:val="20"/>
                <w:lang w:eastAsia="en-US" w:bidi="ar-SA"/>
              </w:rPr>
              <w:t xml:space="preserve"> </w:t>
            </w:r>
          </w:p>
          <w:p w14:paraId="7ABF83CB" w14:textId="77777777" w:rsidR="00C9392A" w:rsidRPr="00C9392A" w:rsidRDefault="00C9392A" w:rsidP="00C9392A">
            <w:pPr>
              <w:rPr>
                <w:rFonts w:cs="Arial"/>
                <w:sz w:val="20"/>
                <w:szCs w:val="20"/>
                <w:lang w:eastAsia="en-US" w:bidi="ar-SA"/>
              </w:rPr>
            </w:pPr>
          </w:p>
          <w:p w14:paraId="20300127" w14:textId="77777777" w:rsidR="00C9392A" w:rsidRPr="00C9392A" w:rsidRDefault="00C9392A" w:rsidP="00C9392A">
            <w:pPr>
              <w:rPr>
                <w:rFonts w:cs="Arial"/>
                <w:sz w:val="20"/>
                <w:szCs w:val="20"/>
                <w:lang w:eastAsia="en-US" w:bidi="ar-SA"/>
              </w:rPr>
            </w:pPr>
            <w:r w:rsidRPr="00C9392A">
              <w:rPr>
                <w:rFonts w:cs="Arial"/>
                <w:sz w:val="20"/>
                <w:szCs w:val="20"/>
                <w:lang w:eastAsia="en-US" w:bidi="ar-SA"/>
              </w:rPr>
              <w:t xml:space="preserve"> </w:t>
            </w:r>
          </w:p>
        </w:tc>
      </w:tr>
    </w:tbl>
    <w:p w14:paraId="4CBA3CEF" w14:textId="1FC08817" w:rsidR="00112EBD" w:rsidRDefault="00112EBD" w:rsidP="00B4728A">
      <w:pPr>
        <w:jc w:val="center"/>
        <w:rPr>
          <w:b/>
          <w:sz w:val="32"/>
          <w:szCs w:val="32"/>
          <w:u w:val="single"/>
        </w:rPr>
      </w:pPr>
    </w:p>
    <w:p w14:paraId="38319254" w14:textId="60C76E4A" w:rsidR="00112EBD" w:rsidRDefault="00112EBD" w:rsidP="00B4728A">
      <w:pPr>
        <w:jc w:val="center"/>
        <w:rPr>
          <w:b/>
          <w:sz w:val="32"/>
          <w:szCs w:val="32"/>
          <w:u w:val="single"/>
        </w:rPr>
      </w:pPr>
    </w:p>
    <w:p w14:paraId="5DDEFB8D" w14:textId="4E6534ED" w:rsidR="00112EBD" w:rsidRDefault="00112EBD" w:rsidP="00B4728A">
      <w:pPr>
        <w:jc w:val="center"/>
        <w:rPr>
          <w:b/>
          <w:sz w:val="32"/>
          <w:szCs w:val="32"/>
          <w:u w:val="single"/>
        </w:rPr>
      </w:pPr>
    </w:p>
    <w:p w14:paraId="1BAC46BC" w14:textId="3B225D95" w:rsidR="00112EBD" w:rsidRDefault="00112EBD" w:rsidP="00B4728A">
      <w:pPr>
        <w:jc w:val="center"/>
        <w:rPr>
          <w:b/>
          <w:sz w:val="32"/>
          <w:szCs w:val="32"/>
          <w:u w:val="single"/>
        </w:rPr>
      </w:pPr>
    </w:p>
    <w:p w14:paraId="306CFB51" w14:textId="5FF21243" w:rsidR="00112EBD" w:rsidRDefault="00112EBD" w:rsidP="00B4728A">
      <w:pPr>
        <w:jc w:val="center"/>
        <w:rPr>
          <w:b/>
          <w:sz w:val="32"/>
          <w:szCs w:val="32"/>
          <w:u w:val="single"/>
        </w:rPr>
      </w:pPr>
    </w:p>
    <w:p w14:paraId="64B38B40" w14:textId="56F1FA34" w:rsidR="00112EBD" w:rsidRDefault="00112EBD" w:rsidP="00B4728A">
      <w:pPr>
        <w:jc w:val="center"/>
        <w:rPr>
          <w:b/>
          <w:sz w:val="32"/>
          <w:szCs w:val="32"/>
          <w:u w:val="single"/>
        </w:rPr>
      </w:pPr>
    </w:p>
    <w:p w14:paraId="1C188292" w14:textId="7355E12B" w:rsidR="00112EBD" w:rsidRDefault="00112EBD" w:rsidP="00B4728A">
      <w:pPr>
        <w:jc w:val="center"/>
        <w:rPr>
          <w:b/>
          <w:sz w:val="32"/>
          <w:szCs w:val="32"/>
          <w:u w:val="single"/>
        </w:rPr>
      </w:pPr>
    </w:p>
    <w:p w14:paraId="40AC2F6C" w14:textId="28A4255E" w:rsidR="00112EBD" w:rsidRDefault="00112EBD" w:rsidP="00B4728A">
      <w:pPr>
        <w:jc w:val="center"/>
        <w:rPr>
          <w:b/>
          <w:sz w:val="32"/>
          <w:szCs w:val="32"/>
          <w:u w:val="single"/>
        </w:rPr>
      </w:pPr>
    </w:p>
    <w:p w14:paraId="122BAC1C" w14:textId="77777777" w:rsidR="00A65EA3" w:rsidRDefault="00A65EA3" w:rsidP="00B4728A">
      <w:pPr>
        <w:jc w:val="center"/>
        <w:rPr>
          <w:b/>
          <w:sz w:val="32"/>
          <w:szCs w:val="32"/>
          <w:u w:val="single"/>
        </w:rPr>
      </w:pPr>
    </w:p>
    <w:p w14:paraId="4961A568" w14:textId="77777777" w:rsidR="00A65EA3" w:rsidRDefault="00A65EA3" w:rsidP="00B4728A">
      <w:pPr>
        <w:jc w:val="center"/>
        <w:rPr>
          <w:b/>
          <w:sz w:val="32"/>
          <w:szCs w:val="32"/>
          <w:u w:val="single"/>
        </w:rPr>
      </w:pPr>
    </w:p>
    <w:p w14:paraId="7CA802D8" w14:textId="77777777" w:rsidR="00A65EA3" w:rsidRDefault="00A65EA3" w:rsidP="00B4728A">
      <w:pPr>
        <w:jc w:val="center"/>
        <w:rPr>
          <w:b/>
          <w:sz w:val="32"/>
          <w:szCs w:val="32"/>
          <w:u w:val="single"/>
        </w:rPr>
      </w:pPr>
    </w:p>
    <w:p w14:paraId="44C0C93C" w14:textId="77777777" w:rsidR="00077670" w:rsidRPr="00077670" w:rsidRDefault="00077670" w:rsidP="0024572C">
      <w:pPr>
        <w:jc w:val="center"/>
        <w:rPr>
          <w:b/>
          <w:sz w:val="32"/>
          <w:szCs w:val="32"/>
          <w:u w:val="single"/>
        </w:rPr>
      </w:pPr>
      <w:r w:rsidRPr="00077670">
        <w:rPr>
          <w:b/>
          <w:sz w:val="32"/>
          <w:szCs w:val="32"/>
          <w:u w:val="single"/>
        </w:rPr>
        <w:t>ANGUS HOUSING ASSOCIATION LIMITED</w:t>
      </w:r>
    </w:p>
    <w:p w14:paraId="32F4CD0D" w14:textId="77777777" w:rsidR="00077670" w:rsidRPr="00077670" w:rsidRDefault="00077670" w:rsidP="00077670">
      <w:pPr>
        <w:jc w:val="center"/>
        <w:rPr>
          <w:b/>
          <w:sz w:val="32"/>
          <w:szCs w:val="32"/>
          <w:u w:val="single"/>
        </w:rPr>
      </w:pPr>
    </w:p>
    <w:p w14:paraId="746B45C9" w14:textId="77777777" w:rsidR="00077670" w:rsidRPr="00077670" w:rsidRDefault="00077670" w:rsidP="00077670">
      <w:pPr>
        <w:jc w:val="center"/>
        <w:rPr>
          <w:b/>
          <w:sz w:val="32"/>
          <w:szCs w:val="32"/>
          <w:u w:val="single"/>
        </w:rPr>
      </w:pPr>
      <w:r>
        <w:rPr>
          <w:b/>
          <w:sz w:val="32"/>
          <w:szCs w:val="32"/>
          <w:u w:val="single"/>
        </w:rPr>
        <w:t>ABANDONED TENANCIES</w:t>
      </w:r>
      <w:r w:rsidR="003213C1">
        <w:rPr>
          <w:b/>
          <w:sz w:val="32"/>
          <w:szCs w:val="32"/>
          <w:u w:val="single"/>
        </w:rPr>
        <w:t xml:space="preserve"> POLICY</w:t>
      </w:r>
    </w:p>
    <w:p w14:paraId="52611698" w14:textId="77777777" w:rsidR="00077670" w:rsidRPr="00077670" w:rsidRDefault="00077670" w:rsidP="00077670">
      <w:pPr>
        <w:jc w:val="center"/>
        <w:rPr>
          <w:b/>
          <w:sz w:val="32"/>
          <w:szCs w:val="32"/>
          <w:u w:val="single"/>
        </w:rPr>
      </w:pPr>
    </w:p>
    <w:p w14:paraId="71ACB8AE" w14:textId="77777777" w:rsidR="00077670" w:rsidRDefault="00077670" w:rsidP="00077670">
      <w:pPr>
        <w:jc w:val="center"/>
        <w:rPr>
          <w:b/>
          <w:sz w:val="32"/>
          <w:szCs w:val="32"/>
          <w:u w:val="single"/>
        </w:rPr>
      </w:pPr>
    </w:p>
    <w:p w14:paraId="0A35E7E5" w14:textId="77777777" w:rsidR="003213C1" w:rsidRPr="00077670" w:rsidRDefault="003213C1" w:rsidP="00077670">
      <w:pPr>
        <w:jc w:val="center"/>
        <w:rPr>
          <w:b/>
          <w:sz w:val="32"/>
          <w:szCs w:val="32"/>
          <w:u w:val="single"/>
        </w:rPr>
      </w:pPr>
    </w:p>
    <w:p w14:paraId="510DF942" w14:textId="77777777" w:rsidR="00E42EC3" w:rsidRDefault="00E42EC3" w:rsidP="00510DF6">
      <w:pPr>
        <w:numPr>
          <w:ilvl w:val="0"/>
          <w:numId w:val="1"/>
        </w:numPr>
        <w:tabs>
          <w:tab w:val="clear" w:pos="0"/>
          <w:tab w:val="num" w:pos="1440"/>
        </w:tabs>
        <w:suppressAutoHyphens/>
        <w:spacing w:after="279" w:line="360" w:lineRule="auto"/>
        <w:ind w:left="1440"/>
        <w:rPr>
          <w:rStyle w:val="Manual2"/>
          <w:b/>
          <w:spacing w:val="-3"/>
          <w:lang w:val="en-GB"/>
        </w:rPr>
      </w:pPr>
      <w:r>
        <w:rPr>
          <w:rStyle w:val="Manual2"/>
          <w:b/>
          <w:spacing w:val="-3"/>
          <w:lang w:val="en-GB"/>
        </w:rPr>
        <w:t xml:space="preserve">Introduction </w:t>
      </w:r>
    </w:p>
    <w:p w14:paraId="2020343E" w14:textId="556135B3" w:rsidR="00E42EC3" w:rsidRDefault="00A068C1" w:rsidP="00E42EC3">
      <w:pPr>
        <w:suppressAutoHyphens/>
        <w:spacing w:after="279" w:line="360" w:lineRule="auto"/>
        <w:rPr>
          <w:rStyle w:val="Manual2"/>
          <w:spacing w:val="-3"/>
          <w:lang w:val="en-GB"/>
        </w:rPr>
      </w:pPr>
      <w:r>
        <w:rPr>
          <w:rStyle w:val="Manual2"/>
          <w:spacing w:val="-3"/>
          <w:lang w:val="en-GB"/>
        </w:rPr>
        <w:t>This policy is comp</w:t>
      </w:r>
      <w:r w:rsidR="00E42EC3" w:rsidRPr="00E42EC3">
        <w:rPr>
          <w:rStyle w:val="Manual2"/>
          <w:spacing w:val="-3"/>
          <w:lang w:val="en-GB"/>
        </w:rPr>
        <w:t>i</w:t>
      </w:r>
      <w:r>
        <w:rPr>
          <w:rStyle w:val="Manual2"/>
          <w:spacing w:val="-3"/>
          <w:lang w:val="en-GB"/>
        </w:rPr>
        <w:t>l</w:t>
      </w:r>
      <w:r w:rsidR="00E42EC3" w:rsidRPr="00E42EC3">
        <w:rPr>
          <w:rStyle w:val="Manual2"/>
          <w:spacing w:val="-3"/>
          <w:lang w:val="en-GB"/>
        </w:rPr>
        <w:t>ed in accordance with the procedures outlined in the Housing (Scotland) Act 2001, particularly Section 17 -21 and the Scottish Secure Tenancies (Abandoned Property) Order 2002.</w:t>
      </w:r>
    </w:p>
    <w:p w14:paraId="0E80EB25" w14:textId="77777777" w:rsidR="00E42EC3" w:rsidRPr="006258B7" w:rsidRDefault="00E42EC3" w:rsidP="006258B7">
      <w:pPr>
        <w:suppressAutoHyphens/>
        <w:spacing w:after="279" w:line="360" w:lineRule="auto"/>
        <w:ind w:firstLine="720"/>
        <w:rPr>
          <w:rStyle w:val="Manual2"/>
          <w:spacing w:val="-3"/>
          <w:u w:val="single"/>
          <w:lang w:val="en-GB"/>
        </w:rPr>
      </w:pPr>
      <w:r w:rsidRPr="006258B7">
        <w:rPr>
          <w:rStyle w:val="Manual2"/>
          <w:spacing w:val="-3"/>
          <w:u w:val="single"/>
          <w:lang w:val="en-GB"/>
        </w:rPr>
        <w:t>Sole Tenancy or Joint Tenancy</w:t>
      </w:r>
    </w:p>
    <w:p w14:paraId="02C99BE6" w14:textId="77777777" w:rsidR="00E42EC3" w:rsidRDefault="00E42EC3" w:rsidP="006258B7">
      <w:pPr>
        <w:suppressAutoHyphens/>
        <w:spacing w:after="279" w:line="360" w:lineRule="auto"/>
        <w:ind w:left="720"/>
        <w:rPr>
          <w:rStyle w:val="Manual2"/>
          <w:spacing w:val="-3"/>
          <w:lang w:val="en-GB"/>
        </w:rPr>
      </w:pPr>
      <w:r>
        <w:rPr>
          <w:rStyle w:val="Manual2"/>
          <w:spacing w:val="-3"/>
          <w:lang w:val="en-GB"/>
        </w:rPr>
        <w:t xml:space="preserve">Where the Association has reasonable grounds for believing that the house is empty and that the tenant does not intend to occupy it as her/his only or principal home. Housing (Scotland) Act 2001 Section </w:t>
      </w:r>
      <w:r w:rsidR="006258B7">
        <w:rPr>
          <w:rStyle w:val="Manual2"/>
          <w:spacing w:val="-3"/>
          <w:lang w:val="en-GB"/>
        </w:rPr>
        <w:t>17</w:t>
      </w:r>
      <w:r>
        <w:rPr>
          <w:rStyle w:val="Manual2"/>
          <w:spacing w:val="-3"/>
          <w:lang w:val="en-GB"/>
        </w:rPr>
        <w:t xml:space="preserve"> &amp; </w:t>
      </w:r>
      <w:r w:rsidR="006258B7">
        <w:rPr>
          <w:rStyle w:val="Manual2"/>
          <w:spacing w:val="-3"/>
          <w:lang w:val="en-GB"/>
        </w:rPr>
        <w:t>19</w:t>
      </w:r>
      <w:r>
        <w:rPr>
          <w:rStyle w:val="Manual2"/>
          <w:spacing w:val="-3"/>
          <w:lang w:val="en-GB"/>
        </w:rPr>
        <w:t>.</w:t>
      </w:r>
    </w:p>
    <w:p w14:paraId="0B6E758A" w14:textId="77777777" w:rsidR="006258B7" w:rsidRPr="006258B7" w:rsidRDefault="006258B7" w:rsidP="006258B7">
      <w:pPr>
        <w:suppressAutoHyphens/>
        <w:spacing w:after="279" w:line="360" w:lineRule="auto"/>
        <w:ind w:left="720"/>
        <w:rPr>
          <w:rStyle w:val="Manual2"/>
          <w:spacing w:val="-3"/>
          <w:u w:val="single"/>
          <w:lang w:val="en-GB"/>
        </w:rPr>
      </w:pPr>
      <w:r w:rsidRPr="006258B7">
        <w:rPr>
          <w:rStyle w:val="Manual2"/>
          <w:spacing w:val="-3"/>
          <w:u w:val="single"/>
          <w:lang w:val="en-GB"/>
        </w:rPr>
        <w:t xml:space="preserve">Joint Tenancy  </w:t>
      </w:r>
    </w:p>
    <w:p w14:paraId="279FDE57" w14:textId="77777777" w:rsidR="006258B7" w:rsidRDefault="006258B7" w:rsidP="006258B7">
      <w:pPr>
        <w:suppressAutoHyphens/>
        <w:spacing w:after="279" w:line="360" w:lineRule="auto"/>
        <w:ind w:left="720"/>
        <w:rPr>
          <w:rStyle w:val="Manual2"/>
          <w:spacing w:val="-3"/>
          <w:lang w:val="en-GB"/>
        </w:rPr>
      </w:pPr>
      <w:r>
        <w:rPr>
          <w:rStyle w:val="Manual2"/>
          <w:spacing w:val="-3"/>
          <w:lang w:val="en-GB"/>
        </w:rPr>
        <w:t>Where the Association has reasonable grounds for believing that a joint tenant is not occupying the house and does not intend to occupy it as her/his only principal home. Housing (Scotland) Act 2001 Section 20 &amp; 21.</w:t>
      </w:r>
    </w:p>
    <w:p w14:paraId="3B218AB6" w14:textId="77777777" w:rsidR="00A668AC" w:rsidRDefault="00A668AC" w:rsidP="00510DF6">
      <w:pPr>
        <w:numPr>
          <w:ilvl w:val="0"/>
          <w:numId w:val="1"/>
        </w:numPr>
        <w:tabs>
          <w:tab w:val="clear" w:pos="0"/>
          <w:tab w:val="num" w:pos="1440"/>
        </w:tabs>
        <w:suppressAutoHyphens/>
        <w:spacing w:after="279" w:line="360" w:lineRule="auto"/>
        <w:ind w:left="1440"/>
        <w:rPr>
          <w:rStyle w:val="Manual2"/>
          <w:b/>
          <w:spacing w:val="-3"/>
          <w:lang w:val="en-GB"/>
        </w:rPr>
      </w:pPr>
      <w:r>
        <w:rPr>
          <w:rStyle w:val="Manual2"/>
          <w:b/>
          <w:spacing w:val="-3"/>
          <w:lang w:val="en-GB"/>
        </w:rPr>
        <w:t>Policy</w:t>
      </w:r>
    </w:p>
    <w:p w14:paraId="10D32DEB" w14:textId="77777777" w:rsidR="00DC7195" w:rsidRDefault="00E42EC3" w:rsidP="00DC7195">
      <w:pPr>
        <w:tabs>
          <w:tab w:val="left" w:pos="0"/>
          <w:tab w:val="left" w:pos="720"/>
        </w:tabs>
        <w:suppressAutoHyphens/>
        <w:spacing w:after="279" w:line="360" w:lineRule="auto"/>
        <w:rPr>
          <w:rStyle w:val="Manual2"/>
          <w:spacing w:val="-3"/>
          <w:lang w:val="en-GB"/>
        </w:rPr>
      </w:pPr>
      <w:r>
        <w:rPr>
          <w:rStyle w:val="Manual2"/>
          <w:spacing w:val="-3"/>
          <w:lang w:val="en-GB"/>
        </w:rPr>
        <w:t>The Association will endeavour to identify abandoned properties at the earliest possible stage</w:t>
      </w:r>
      <w:r w:rsidR="00DC7195">
        <w:rPr>
          <w:rStyle w:val="Manual2"/>
          <w:spacing w:val="-3"/>
          <w:lang w:val="en-GB"/>
        </w:rPr>
        <w:t xml:space="preserve"> </w:t>
      </w:r>
      <w:proofErr w:type="gramStart"/>
      <w:r w:rsidR="00DC7195">
        <w:rPr>
          <w:rStyle w:val="Manual2"/>
          <w:spacing w:val="-3"/>
          <w:lang w:val="en-GB"/>
        </w:rPr>
        <w:t>in order to</w:t>
      </w:r>
      <w:proofErr w:type="gramEnd"/>
      <w:r w:rsidR="00DC7195">
        <w:rPr>
          <w:rStyle w:val="Manual2"/>
          <w:spacing w:val="-3"/>
          <w:lang w:val="en-GB"/>
        </w:rPr>
        <w:t xml:space="preserve"> minimise rent loss resulting from abandoned Tenancies and to follow the Guidance as detailed in the Scottish Secure Tenancy (Abandoned Property) Order 2002.</w:t>
      </w:r>
    </w:p>
    <w:p w14:paraId="1095383C" w14:textId="77777777" w:rsidR="00E42EC3" w:rsidRDefault="006258B7" w:rsidP="00510DF6">
      <w:pPr>
        <w:tabs>
          <w:tab w:val="left" w:pos="0"/>
          <w:tab w:val="left" w:pos="720"/>
        </w:tabs>
        <w:suppressAutoHyphens/>
        <w:spacing w:after="279" w:line="360" w:lineRule="auto"/>
        <w:rPr>
          <w:rStyle w:val="Manual2"/>
          <w:spacing w:val="-3"/>
          <w:lang w:val="en-GB"/>
        </w:rPr>
      </w:pPr>
      <w:proofErr w:type="gramStart"/>
      <w:r>
        <w:rPr>
          <w:rStyle w:val="Manual2"/>
          <w:spacing w:val="-3"/>
          <w:lang w:val="en-GB"/>
        </w:rPr>
        <w:t>However</w:t>
      </w:r>
      <w:proofErr w:type="gramEnd"/>
      <w:r>
        <w:rPr>
          <w:rStyle w:val="Manual2"/>
          <w:spacing w:val="-3"/>
          <w:lang w:val="en-GB"/>
        </w:rPr>
        <w:t xml:space="preserve"> a property will not be treated </w:t>
      </w:r>
      <w:r w:rsidR="00BE36B8">
        <w:rPr>
          <w:rStyle w:val="Manual2"/>
          <w:spacing w:val="-3"/>
          <w:lang w:val="en-GB"/>
        </w:rPr>
        <w:t>as abandoned until the A</w:t>
      </w:r>
      <w:r w:rsidR="00C95F5F">
        <w:rPr>
          <w:rStyle w:val="Manual2"/>
          <w:spacing w:val="-3"/>
          <w:lang w:val="en-GB"/>
        </w:rPr>
        <w:t xml:space="preserve">ssociation is satisfied that all </w:t>
      </w:r>
      <w:r w:rsidR="00BE36B8">
        <w:rPr>
          <w:rStyle w:val="Manual2"/>
          <w:spacing w:val="-3"/>
          <w:lang w:val="en-GB"/>
        </w:rPr>
        <w:t>appropriate checks have been carried out.</w:t>
      </w:r>
    </w:p>
    <w:p w14:paraId="479B218D" w14:textId="77777777" w:rsidR="00BE36B8" w:rsidRDefault="00BE36B8" w:rsidP="00510DF6">
      <w:pPr>
        <w:tabs>
          <w:tab w:val="left" w:pos="0"/>
          <w:tab w:val="left" w:pos="720"/>
        </w:tabs>
        <w:suppressAutoHyphens/>
        <w:spacing w:after="279" w:line="360" w:lineRule="auto"/>
        <w:rPr>
          <w:rStyle w:val="Manual2"/>
          <w:spacing w:val="-3"/>
          <w:lang w:val="en-GB"/>
        </w:rPr>
      </w:pPr>
      <w:proofErr w:type="gramStart"/>
      <w:r>
        <w:rPr>
          <w:rStyle w:val="Manual2"/>
          <w:spacing w:val="-3"/>
          <w:lang w:val="en-GB"/>
        </w:rPr>
        <w:lastRenderedPageBreak/>
        <w:t>In the event that</w:t>
      </w:r>
      <w:proofErr w:type="gramEnd"/>
      <w:r>
        <w:rPr>
          <w:rStyle w:val="Manual2"/>
          <w:spacing w:val="-3"/>
          <w:lang w:val="en-GB"/>
        </w:rPr>
        <w:t xml:space="preserve"> attempts to contact the tenant reveal that the tenant has died, reference should be made to the Succession Policy and Procedures.</w:t>
      </w:r>
    </w:p>
    <w:p w14:paraId="2562EA34" w14:textId="77777777" w:rsidR="00DC7195" w:rsidRDefault="00A668AC" w:rsidP="00DC7195">
      <w:pPr>
        <w:tabs>
          <w:tab w:val="left" w:pos="0"/>
          <w:tab w:val="left" w:pos="720"/>
        </w:tabs>
        <w:suppressAutoHyphens/>
        <w:spacing w:after="279" w:line="360" w:lineRule="auto"/>
        <w:rPr>
          <w:rStyle w:val="Manual2"/>
          <w:spacing w:val="-3"/>
          <w:lang w:val="en-GB"/>
        </w:rPr>
      </w:pPr>
      <w:r>
        <w:rPr>
          <w:rStyle w:val="Manual2"/>
          <w:spacing w:val="-3"/>
          <w:lang w:val="en-GB"/>
        </w:rPr>
        <w:t>The Housing Act 2001 and the SST Agreement gives A</w:t>
      </w:r>
      <w:r w:rsidR="000F278F">
        <w:rPr>
          <w:rStyle w:val="Manual2"/>
          <w:spacing w:val="-3"/>
          <w:lang w:val="en-GB"/>
        </w:rPr>
        <w:t>ngus</w:t>
      </w:r>
      <w:r>
        <w:rPr>
          <w:rStyle w:val="Manual2"/>
          <w:spacing w:val="-3"/>
          <w:lang w:val="en-GB"/>
        </w:rPr>
        <w:t xml:space="preserve"> Housing Association the right to enter houses which are unoccupied and where there are reasonable grounds to believe that it is abandoned, to secure against vandalism </w:t>
      </w:r>
      <w:r w:rsidR="00DC7195">
        <w:rPr>
          <w:rStyle w:val="Manual2"/>
          <w:spacing w:val="-3"/>
          <w:lang w:val="en-GB"/>
        </w:rPr>
        <w:t>weather or frost damage</w:t>
      </w:r>
      <w:r>
        <w:rPr>
          <w:rStyle w:val="Manual2"/>
          <w:spacing w:val="-3"/>
          <w:lang w:val="en-GB"/>
        </w:rPr>
        <w:t>.</w:t>
      </w:r>
      <w:r w:rsidR="00DC7195" w:rsidRPr="00DC7195">
        <w:rPr>
          <w:rStyle w:val="Manual2"/>
          <w:spacing w:val="-3"/>
          <w:lang w:val="en-GB"/>
        </w:rPr>
        <w:t xml:space="preserve"> </w:t>
      </w:r>
      <w:r w:rsidR="00DC7195">
        <w:rPr>
          <w:rStyle w:val="Manual2"/>
          <w:spacing w:val="-3"/>
          <w:lang w:val="en-GB"/>
        </w:rPr>
        <w:t>If emergency forced entry is required, the police will be invited to attend. Details of where new keys can be obtained will be attached to the door of the property and provided to the Local Authority’s out of hours homelessness service. If the property is not considered to be at risk, no forced entry will be made at this time.</w:t>
      </w:r>
    </w:p>
    <w:p w14:paraId="5EBF8768" w14:textId="77777777" w:rsidR="00A668AC" w:rsidRDefault="00A668AC" w:rsidP="00510DF6">
      <w:pPr>
        <w:tabs>
          <w:tab w:val="left" w:pos="0"/>
          <w:tab w:val="left" w:pos="720"/>
        </w:tabs>
        <w:suppressAutoHyphens/>
        <w:spacing w:after="279" w:line="360" w:lineRule="auto"/>
        <w:rPr>
          <w:rStyle w:val="Manual2"/>
          <w:spacing w:val="-3"/>
          <w:lang w:val="en-GB"/>
        </w:rPr>
      </w:pPr>
      <w:r>
        <w:rPr>
          <w:rStyle w:val="Manual2"/>
          <w:spacing w:val="-3"/>
          <w:lang w:val="en-GB"/>
        </w:rPr>
        <w:t>Detailed procedures have been drafted to supplement this policy.</w:t>
      </w:r>
    </w:p>
    <w:p w14:paraId="74BA9BA9" w14:textId="77777777" w:rsidR="00A668AC" w:rsidRDefault="00A668AC" w:rsidP="00510DF6">
      <w:pPr>
        <w:tabs>
          <w:tab w:val="left" w:pos="0"/>
          <w:tab w:val="left" w:pos="720"/>
        </w:tabs>
        <w:suppressAutoHyphens/>
        <w:spacing w:after="279" w:line="360" w:lineRule="auto"/>
        <w:rPr>
          <w:rStyle w:val="Manual2"/>
          <w:spacing w:val="-3"/>
          <w:lang w:val="en-GB"/>
        </w:rPr>
      </w:pPr>
      <w:r>
        <w:rPr>
          <w:rStyle w:val="Manual2"/>
          <w:b/>
          <w:spacing w:val="-3"/>
          <w:lang w:val="en-GB"/>
        </w:rPr>
        <w:t>2.</w:t>
      </w:r>
      <w:r>
        <w:rPr>
          <w:rStyle w:val="Manual2"/>
          <w:b/>
          <w:spacing w:val="-3"/>
          <w:lang w:val="en-GB"/>
        </w:rPr>
        <w:tab/>
        <w:t>Establishing whether the house has been abandoned</w:t>
      </w:r>
    </w:p>
    <w:p w14:paraId="35F29E67" w14:textId="39CB5685" w:rsidR="00A668AC" w:rsidRDefault="00A668AC" w:rsidP="00510DF6">
      <w:pPr>
        <w:tabs>
          <w:tab w:val="left" w:pos="0"/>
          <w:tab w:val="left" w:pos="720"/>
        </w:tabs>
        <w:suppressAutoHyphens/>
        <w:spacing w:after="279" w:line="360" w:lineRule="auto"/>
        <w:rPr>
          <w:spacing w:val="-3"/>
          <w:lang w:val="en-GB"/>
        </w:rPr>
      </w:pPr>
      <w:r>
        <w:rPr>
          <w:spacing w:val="-3"/>
          <w:lang w:val="en-GB"/>
        </w:rPr>
        <w:t xml:space="preserve">Housing officers will follow detailed procedures to establish that the </w:t>
      </w:r>
      <w:r w:rsidR="00B744CE">
        <w:rPr>
          <w:spacing w:val="-3"/>
          <w:lang w:val="en-GB"/>
        </w:rPr>
        <w:t>tenancy</w:t>
      </w:r>
      <w:r>
        <w:rPr>
          <w:spacing w:val="-3"/>
          <w:lang w:val="en-GB"/>
        </w:rPr>
        <w:t xml:space="preserve"> is unoccupied and has been abandoned. Staff will also follow the guidance in </w:t>
      </w:r>
      <w:r w:rsidR="00DF239E">
        <w:rPr>
          <w:spacing w:val="-3"/>
          <w:lang w:val="en-GB"/>
        </w:rPr>
        <w:t>the Association’s</w:t>
      </w:r>
      <w:r>
        <w:rPr>
          <w:spacing w:val="-3"/>
          <w:lang w:val="en-GB"/>
        </w:rPr>
        <w:t xml:space="preserve"> Health and Safety manual.</w:t>
      </w:r>
    </w:p>
    <w:p w14:paraId="37B3A092" w14:textId="77777777" w:rsidR="00A668AC" w:rsidRDefault="00A668AC" w:rsidP="00510DF6">
      <w:pPr>
        <w:tabs>
          <w:tab w:val="left" w:pos="0"/>
          <w:tab w:val="left" w:pos="720"/>
        </w:tabs>
        <w:suppressAutoHyphens/>
        <w:spacing w:after="279" w:line="360" w:lineRule="auto"/>
        <w:rPr>
          <w:spacing w:val="-3"/>
          <w:lang w:val="en-GB"/>
        </w:rPr>
      </w:pPr>
      <w:r>
        <w:rPr>
          <w:spacing w:val="-3"/>
          <w:lang w:val="en-GB"/>
        </w:rPr>
        <w:t xml:space="preserve">A detailed checklist will assist Housing Officers in following the procedures. Staff will act proactively </w:t>
      </w:r>
      <w:proofErr w:type="gramStart"/>
      <w:r>
        <w:rPr>
          <w:spacing w:val="-3"/>
          <w:lang w:val="en-GB"/>
        </w:rPr>
        <w:t>in order to</w:t>
      </w:r>
      <w:proofErr w:type="gramEnd"/>
      <w:r>
        <w:rPr>
          <w:spacing w:val="-3"/>
          <w:lang w:val="en-GB"/>
        </w:rPr>
        <w:t xml:space="preserve"> avoid lengthy delays when trying to establish contact with relatives, neighbours etc.</w:t>
      </w:r>
    </w:p>
    <w:p w14:paraId="0123E200" w14:textId="77777777" w:rsidR="00A668AC" w:rsidRDefault="00A668AC" w:rsidP="00510DF6">
      <w:pPr>
        <w:tabs>
          <w:tab w:val="left" w:pos="0"/>
          <w:tab w:val="left" w:pos="720"/>
        </w:tabs>
        <w:suppressAutoHyphens/>
        <w:spacing w:after="279" w:line="360" w:lineRule="auto"/>
        <w:ind w:left="-360"/>
        <w:rPr>
          <w:b/>
          <w:spacing w:val="-3"/>
          <w:lang w:val="en-GB"/>
        </w:rPr>
      </w:pPr>
      <w:r>
        <w:rPr>
          <w:b/>
          <w:spacing w:val="-3"/>
          <w:lang w:val="en-GB"/>
        </w:rPr>
        <w:tab/>
        <w:t>3.</w:t>
      </w:r>
      <w:r>
        <w:rPr>
          <w:b/>
          <w:spacing w:val="-3"/>
          <w:lang w:val="en-GB"/>
        </w:rPr>
        <w:tab/>
        <w:t>Abandonment</w:t>
      </w:r>
    </w:p>
    <w:p w14:paraId="58A1CF1F" w14:textId="37DB13F8" w:rsidR="00A668AC" w:rsidRDefault="00A668AC" w:rsidP="00510DF6">
      <w:pPr>
        <w:spacing w:line="360" w:lineRule="auto"/>
      </w:pPr>
      <w:r>
        <w:t xml:space="preserve">Where it is established that a house has been abandoned, the Housing Officer will serve a statutory Notice of Intention to Repossess the Dwellinghouse, giving a minimum of 28 days notice. </w:t>
      </w:r>
      <w:r w:rsidR="00B744CE">
        <w:t xml:space="preserve">The Housing Officer and one other </w:t>
      </w:r>
      <w:r w:rsidR="000F278F">
        <w:t>member</w:t>
      </w:r>
      <w:r>
        <w:t xml:space="preserve"> of staff will deliver the Notice</w:t>
      </w:r>
      <w:r w:rsidR="000F278F">
        <w:t xml:space="preserve"> which </w:t>
      </w:r>
      <w:r>
        <w:t xml:space="preserve">will </w:t>
      </w:r>
      <w:r w:rsidR="000F278F">
        <w:t xml:space="preserve">be </w:t>
      </w:r>
      <w:r>
        <w:t>sign</w:t>
      </w:r>
      <w:r w:rsidR="000F278F">
        <w:t xml:space="preserve">ed </w:t>
      </w:r>
      <w:r>
        <w:t>and date</w:t>
      </w:r>
      <w:r w:rsidR="00A068C1">
        <w:t>d</w:t>
      </w:r>
      <w:r w:rsidR="00C95F5F">
        <w:t>, the A</w:t>
      </w:r>
      <w:r w:rsidR="000F278F">
        <w:t xml:space="preserve">ssociation will also retain a signed and dated </w:t>
      </w:r>
      <w:r>
        <w:t>copy of the Notice</w:t>
      </w:r>
      <w:r w:rsidR="000F278F">
        <w:t>.</w:t>
      </w:r>
      <w:r>
        <w:t xml:space="preserve"> </w:t>
      </w:r>
    </w:p>
    <w:p w14:paraId="5293D026" w14:textId="77777777" w:rsidR="00B65694" w:rsidRDefault="00B65694" w:rsidP="00510DF6">
      <w:pPr>
        <w:spacing w:line="360" w:lineRule="auto"/>
      </w:pPr>
    </w:p>
    <w:p w14:paraId="0BA518BA" w14:textId="77777777" w:rsidR="00A668AC" w:rsidRDefault="00A668AC" w:rsidP="00510DF6">
      <w:pPr>
        <w:spacing w:line="360" w:lineRule="auto"/>
      </w:pPr>
      <w:r>
        <w:t xml:space="preserve">Should the tenant fail to contact the office </w:t>
      </w:r>
      <w:r w:rsidR="00C95F5F">
        <w:t xml:space="preserve">following </w:t>
      </w:r>
      <w:r>
        <w:t>delivery of the</w:t>
      </w:r>
      <w:r w:rsidR="00C95F5F">
        <w:t xml:space="preserve"> </w:t>
      </w:r>
      <w:proofErr w:type="gramStart"/>
      <w:r w:rsidR="00C95F5F">
        <w:t xml:space="preserve">Abandonment </w:t>
      </w:r>
      <w:r>
        <w:t xml:space="preserve"> Notice</w:t>
      </w:r>
      <w:proofErr w:type="gramEnd"/>
      <w:r>
        <w:t xml:space="preserve"> and before the </w:t>
      </w:r>
      <w:r w:rsidR="00C95F5F">
        <w:t xml:space="preserve">Abandonment Notice </w:t>
      </w:r>
      <w:r w:rsidR="000F278F">
        <w:t>expir</w:t>
      </w:r>
      <w:r w:rsidR="00C95F5F">
        <w:t>es</w:t>
      </w:r>
      <w:r>
        <w:t xml:space="preserve">, a second </w:t>
      </w:r>
      <w:r w:rsidR="00C95F5F">
        <w:t xml:space="preserve">Abandonment </w:t>
      </w:r>
      <w:r>
        <w:t>Notice of Repossession will be served</w:t>
      </w:r>
      <w:r w:rsidR="00C95F5F">
        <w:t xml:space="preserve">. The </w:t>
      </w:r>
      <w:proofErr w:type="gramStart"/>
      <w:r w:rsidR="00C95F5F">
        <w:t xml:space="preserve">second </w:t>
      </w:r>
      <w:r>
        <w:t xml:space="preserve"> </w:t>
      </w:r>
      <w:r w:rsidR="00C95F5F">
        <w:t>Abandonment</w:t>
      </w:r>
      <w:proofErr w:type="gramEnd"/>
      <w:r w:rsidR="00C95F5F">
        <w:t xml:space="preserve"> Notice will be </w:t>
      </w:r>
      <w:r w:rsidR="00C95F5F">
        <w:lastRenderedPageBreak/>
        <w:t xml:space="preserve">served </w:t>
      </w:r>
      <w:r>
        <w:t xml:space="preserve">on or after the date </w:t>
      </w:r>
      <w:r w:rsidR="00C95F5F">
        <w:t xml:space="preserve">the first Abandonment Notice expires.  The second Abandonment Notice </w:t>
      </w:r>
      <w:r>
        <w:t>effectively ends the tenancy.</w:t>
      </w:r>
    </w:p>
    <w:p w14:paraId="57B23FA8" w14:textId="77777777" w:rsidR="00A668AC" w:rsidRDefault="00A668AC" w:rsidP="00510DF6">
      <w:pPr>
        <w:spacing w:line="360" w:lineRule="auto"/>
      </w:pPr>
    </w:p>
    <w:p w14:paraId="6C40F0B0" w14:textId="77777777" w:rsidR="00A668AC" w:rsidRDefault="00A668AC" w:rsidP="00510DF6">
      <w:pPr>
        <w:spacing w:line="360" w:lineRule="auto"/>
        <w:rPr>
          <w:b/>
        </w:rPr>
      </w:pPr>
      <w:r>
        <w:rPr>
          <w:b/>
        </w:rPr>
        <w:t>4.</w:t>
      </w:r>
      <w:r>
        <w:rPr>
          <w:b/>
        </w:rPr>
        <w:tab/>
        <w:t>Locks/Inspection/Furniture</w:t>
      </w:r>
      <w:r>
        <w:rPr>
          <w:b/>
        </w:rPr>
        <w:tab/>
      </w:r>
    </w:p>
    <w:p w14:paraId="125E75EB" w14:textId="77777777" w:rsidR="00A668AC" w:rsidRDefault="00A668AC" w:rsidP="00510DF6">
      <w:pPr>
        <w:spacing w:line="360" w:lineRule="auto"/>
      </w:pPr>
    </w:p>
    <w:p w14:paraId="4CDE7417" w14:textId="77777777" w:rsidR="00A668AC" w:rsidRDefault="00A668AC" w:rsidP="00510DF6">
      <w:pPr>
        <w:spacing w:line="360" w:lineRule="auto"/>
      </w:pPr>
      <w:r>
        <w:t>T</w:t>
      </w:r>
      <w:r w:rsidR="007000CD">
        <w:t xml:space="preserve">hereafter the </w:t>
      </w:r>
      <w:r>
        <w:t xml:space="preserve">locks of the house will be </w:t>
      </w:r>
      <w:proofErr w:type="gramStart"/>
      <w:r>
        <w:t>changed</w:t>
      </w:r>
      <w:proofErr w:type="gramEnd"/>
      <w:r>
        <w:t xml:space="preserve"> and the house will be inspected for any remaining furniture. If furniture is found</w:t>
      </w:r>
      <w:r w:rsidR="00B65694">
        <w:t xml:space="preserve"> photographs should be taken to show the condition of items</w:t>
      </w:r>
      <w:r>
        <w:t>,</w:t>
      </w:r>
      <w:r w:rsidR="00B65694">
        <w:t xml:space="preserve"> and </w:t>
      </w:r>
      <w:r>
        <w:t xml:space="preserve">a further Notice with inventory will be served </w:t>
      </w:r>
      <w:proofErr w:type="gramStart"/>
      <w:r>
        <w:t>on</w:t>
      </w:r>
      <w:proofErr w:type="gramEnd"/>
      <w:r>
        <w:t xml:space="preserve"> the former tenant at the last known addres</w:t>
      </w:r>
      <w:r w:rsidR="007000CD">
        <w:t xml:space="preserve">s (i.e. the abandoned property). This </w:t>
      </w:r>
      <w:r>
        <w:t>allow</w:t>
      </w:r>
      <w:r w:rsidR="007000CD">
        <w:t>s</w:t>
      </w:r>
      <w:r>
        <w:t xml:space="preserve"> a minimum of 28 days for the former tenant to arrange delivery/pick up the furniture. This Notice may also be served earlier if it is known that furniture has been left in the house.</w:t>
      </w:r>
      <w:r w:rsidR="00B65694">
        <w:t xml:space="preserve"> </w:t>
      </w:r>
    </w:p>
    <w:p w14:paraId="0D186748" w14:textId="77777777" w:rsidR="00B65694" w:rsidRDefault="00B65694" w:rsidP="00510DF6">
      <w:pPr>
        <w:spacing w:line="360" w:lineRule="auto"/>
      </w:pPr>
    </w:p>
    <w:p w14:paraId="7C3EEF39" w14:textId="77777777" w:rsidR="00A668AC" w:rsidRDefault="000F278F" w:rsidP="00510DF6">
      <w:pPr>
        <w:spacing w:line="360" w:lineRule="auto"/>
      </w:pPr>
      <w:r>
        <w:t xml:space="preserve">The </w:t>
      </w:r>
      <w:r w:rsidR="007000CD">
        <w:t>A</w:t>
      </w:r>
      <w:r>
        <w:t xml:space="preserve">ssociation </w:t>
      </w:r>
      <w:r w:rsidR="00A668AC">
        <w:t>will charge any expenses incurred in complying with such a request and will release any furniture only on payment of such sum.</w:t>
      </w:r>
    </w:p>
    <w:p w14:paraId="156C5525" w14:textId="77777777" w:rsidR="00A668AC" w:rsidRDefault="00A668AC" w:rsidP="00510DF6">
      <w:pPr>
        <w:spacing w:line="360" w:lineRule="auto"/>
      </w:pPr>
    </w:p>
    <w:p w14:paraId="780B3498" w14:textId="77777777" w:rsidR="00A668AC" w:rsidRDefault="00A668AC" w:rsidP="00510DF6">
      <w:pPr>
        <w:numPr>
          <w:ilvl w:val="0"/>
          <w:numId w:val="5"/>
        </w:numPr>
        <w:spacing w:line="360" w:lineRule="auto"/>
        <w:rPr>
          <w:b/>
        </w:rPr>
      </w:pPr>
      <w:r>
        <w:rPr>
          <w:b/>
        </w:rPr>
        <w:t>Storage of property</w:t>
      </w:r>
    </w:p>
    <w:p w14:paraId="60EDA859" w14:textId="77777777" w:rsidR="00A668AC" w:rsidRDefault="00A668AC" w:rsidP="00510DF6">
      <w:pPr>
        <w:spacing w:line="360" w:lineRule="auto"/>
      </w:pPr>
    </w:p>
    <w:p w14:paraId="1860455C" w14:textId="77777777" w:rsidR="00A668AC" w:rsidRDefault="00A668AC" w:rsidP="00510DF6">
      <w:pPr>
        <w:spacing w:line="360" w:lineRule="auto"/>
      </w:pPr>
      <w:r>
        <w:t xml:space="preserve">Where property has not been collected by the former tenant, </w:t>
      </w:r>
      <w:r w:rsidR="003B168A">
        <w:t xml:space="preserve">Angus Housing Association </w:t>
      </w:r>
      <w:r>
        <w:t xml:space="preserve">will store the furniture for a period of 6 months from the date on which </w:t>
      </w:r>
      <w:r w:rsidR="003B168A">
        <w:t xml:space="preserve">the association </w:t>
      </w:r>
      <w:r>
        <w:t>took possession of the house.</w:t>
      </w:r>
    </w:p>
    <w:p w14:paraId="4051AAE5" w14:textId="77777777" w:rsidR="003B168A" w:rsidRDefault="003B168A" w:rsidP="00510DF6">
      <w:pPr>
        <w:spacing w:line="360" w:lineRule="auto"/>
      </w:pPr>
    </w:p>
    <w:p w14:paraId="1815F02E" w14:textId="77777777" w:rsidR="00A668AC" w:rsidRDefault="00A668AC" w:rsidP="00510DF6">
      <w:pPr>
        <w:spacing w:line="360" w:lineRule="auto"/>
      </w:pPr>
      <w:r>
        <w:t>Property, which in the opinion of the Housing officer is of insufficient value to cover the costs of transport and storage will be removed after the period of 28 days previously mentioned in paragraph 4 above. The Housing Officer will detail an inventory along with photographs for record purposes.</w:t>
      </w:r>
    </w:p>
    <w:p w14:paraId="1CABD826" w14:textId="77777777" w:rsidR="00A668AC" w:rsidRDefault="00A668AC" w:rsidP="00510DF6">
      <w:pPr>
        <w:spacing w:line="360" w:lineRule="auto"/>
      </w:pPr>
    </w:p>
    <w:p w14:paraId="078FEF91" w14:textId="77777777" w:rsidR="00A668AC" w:rsidRDefault="00A668AC" w:rsidP="00510DF6">
      <w:pPr>
        <w:spacing w:line="360" w:lineRule="auto"/>
      </w:pPr>
      <w:r>
        <w:t>After 6 months, unclaimed property will be sold to meet expenses such as transport of the property, storage costs, and then any rent arrears, recoverable repairs etc.</w:t>
      </w:r>
    </w:p>
    <w:p w14:paraId="37E64546" w14:textId="77777777" w:rsidR="00A668AC" w:rsidRDefault="00A668AC" w:rsidP="00510DF6">
      <w:pPr>
        <w:spacing w:line="360" w:lineRule="auto"/>
      </w:pPr>
    </w:p>
    <w:p w14:paraId="17FC5FBB" w14:textId="77777777" w:rsidR="00A668AC" w:rsidRDefault="00A668AC" w:rsidP="00510DF6">
      <w:pPr>
        <w:spacing w:line="360" w:lineRule="auto"/>
      </w:pPr>
      <w:r>
        <w:t>Nothing in our policy shall affect A</w:t>
      </w:r>
      <w:r w:rsidR="00D56EA1">
        <w:t>ngus Housing Associations</w:t>
      </w:r>
      <w:r>
        <w:t xml:space="preserve"> right of hypothec.</w:t>
      </w:r>
    </w:p>
    <w:p w14:paraId="47F13F7B" w14:textId="77777777" w:rsidR="003B168A" w:rsidRDefault="003B168A" w:rsidP="00510DF6">
      <w:pPr>
        <w:spacing w:line="360" w:lineRule="auto"/>
      </w:pPr>
    </w:p>
    <w:p w14:paraId="0D1D3484" w14:textId="77777777" w:rsidR="003B168A" w:rsidRDefault="00A668AC" w:rsidP="00510DF6">
      <w:pPr>
        <w:tabs>
          <w:tab w:val="left" w:pos="0"/>
        </w:tabs>
        <w:suppressAutoHyphens/>
        <w:spacing w:line="360" w:lineRule="auto"/>
        <w:ind w:left="720"/>
        <w:jc w:val="both"/>
        <w:rPr>
          <w:rStyle w:val="Manual2"/>
          <w:spacing w:val="-3"/>
          <w:lang w:val="en-GB"/>
        </w:rPr>
      </w:pPr>
      <w:r>
        <w:rPr>
          <w:rStyle w:val="Manual2"/>
          <w:spacing w:val="-3"/>
          <w:lang w:val="en-GB"/>
        </w:rPr>
        <w:lastRenderedPageBreak/>
        <w:t xml:space="preserve">(Hypothec is a common law right over all moveable property in a house, with certain exceptions - such as bedding, chairs, tables, cooking utensils, </w:t>
      </w:r>
      <w:proofErr w:type="gramStart"/>
      <w:r>
        <w:rPr>
          <w:rStyle w:val="Manual2"/>
          <w:spacing w:val="-3"/>
          <w:lang w:val="en-GB"/>
        </w:rPr>
        <w:t>clothes</w:t>
      </w:r>
      <w:proofErr w:type="gramEnd"/>
      <w:r>
        <w:rPr>
          <w:rStyle w:val="Manual2"/>
          <w:spacing w:val="-3"/>
          <w:lang w:val="en-GB"/>
        </w:rPr>
        <w:t xml:space="preserve"> and tools of trade when there is rent due).  </w:t>
      </w:r>
    </w:p>
    <w:p w14:paraId="347475D5" w14:textId="77777777" w:rsidR="003B168A" w:rsidRDefault="003B168A" w:rsidP="00510DF6">
      <w:pPr>
        <w:tabs>
          <w:tab w:val="left" w:pos="0"/>
        </w:tabs>
        <w:suppressAutoHyphens/>
        <w:spacing w:line="360" w:lineRule="auto"/>
        <w:jc w:val="both"/>
        <w:rPr>
          <w:rStyle w:val="Manual2"/>
          <w:spacing w:val="-3"/>
          <w:lang w:val="en-GB"/>
        </w:rPr>
      </w:pPr>
    </w:p>
    <w:p w14:paraId="72D949F6" w14:textId="77777777" w:rsidR="00A668AC" w:rsidRDefault="00A668AC" w:rsidP="00510DF6">
      <w:pPr>
        <w:tabs>
          <w:tab w:val="left" w:pos="0"/>
        </w:tabs>
        <w:suppressAutoHyphens/>
        <w:spacing w:line="360" w:lineRule="auto"/>
        <w:jc w:val="both"/>
        <w:rPr>
          <w:rStyle w:val="Manual2"/>
          <w:spacing w:val="-3"/>
          <w:lang w:val="en-GB"/>
        </w:rPr>
      </w:pPr>
      <w:r>
        <w:rPr>
          <w:rStyle w:val="Manual2"/>
          <w:spacing w:val="-3"/>
          <w:lang w:val="en-GB"/>
        </w:rPr>
        <w:t>The landlord can hold this prope</w:t>
      </w:r>
      <w:r w:rsidR="003B168A">
        <w:rPr>
          <w:rStyle w:val="Manual2"/>
          <w:spacing w:val="-3"/>
          <w:lang w:val="en-GB"/>
        </w:rPr>
        <w:t xml:space="preserve">rty until the rent due is paid.  </w:t>
      </w:r>
      <w:r>
        <w:rPr>
          <w:rStyle w:val="Manual2"/>
          <w:spacing w:val="-3"/>
          <w:lang w:val="en-GB"/>
        </w:rPr>
        <w:t xml:space="preserve">The Housing </w:t>
      </w:r>
      <w:r w:rsidR="003B168A">
        <w:rPr>
          <w:rStyle w:val="Manual2"/>
          <w:spacing w:val="-3"/>
          <w:lang w:val="en-GB"/>
        </w:rPr>
        <w:t>Manager</w:t>
      </w:r>
      <w:r>
        <w:rPr>
          <w:rStyle w:val="Manual2"/>
          <w:spacing w:val="-3"/>
          <w:lang w:val="en-GB"/>
        </w:rPr>
        <w:t xml:space="preserve"> will consult with our solicitor before exercising such rights.</w:t>
      </w:r>
      <w:r>
        <w:rPr>
          <w:rStyle w:val="Manual2"/>
          <w:spacing w:val="-3"/>
          <w:lang w:val="en-GB"/>
        </w:rPr>
        <w:tab/>
      </w:r>
    </w:p>
    <w:p w14:paraId="14F75D8D" w14:textId="77777777" w:rsidR="00A668AC" w:rsidRDefault="00A668AC" w:rsidP="00510DF6">
      <w:pPr>
        <w:tabs>
          <w:tab w:val="left" w:pos="0"/>
        </w:tabs>
        <w:suppressAutoHyphens/>
        <w:spacing w:line="360" w:lineRule="auto"/>
        <w:jc w:val="both"/>
        <w:rPr>
          <w:rStyle w:val="Manual2"/>
          <w:spacing w:val="-3"/>
          <w:lang w:val="en-GB"/>
        </w:rPr>
      </w:pPr>
    </w:p>
    <w:p w14:paraId="70CCB560" w14:textId="77777777" w:rsidR="00A668AC" w:rsidRDefault="00A668AC" w:rsidP="00510DF6">
      <w:pPr>
        <w:spacing w:line="360" w:lineRule="auto"/>
        <w:rPr>
          <w:b/>
        </w:rPr>
      </w:pPr>
      <w:r>
        <w:rPr>
          <w:b/>
        </w:rPr>
        <w:t>6.</w:t>
      </w:r>
      <w:r>
        <w:rPr>
          <w:b/>
        </w:rPr>
        <w:tab/>
        <w:t>Joint Tenants</w:t>
      </w:r>
    </w:p>
    <w:p w14:paraId="785704D4" w14:textId="77777777" w:rsidR="00A668AC" w:rsidRDefault="00A668AC" w:rsidP="00510DF6">
      <w:pPr>
        <w:spacing w:line="360" w:lineRule="auto"/>
      </w:pPr>
    </w:p>
    <w:p w14:paraId="3D613B04" w14:textId="77777777" w:rsidR="00430821" w:rsidRDefault="00430821" w:rsidP="00510DF6">
      <w:pPr>
        <w:spacing w:line="360" w:lineRule="auto"/>
      </w:pPr>
      <w:r>
        <w:t>The Housing (Scotland) Act 2001 introduced new legislation concerning joint tenancies where one partner had abandoned their tenancy.</w:t>
      </w:r>
    </w:p>
    <w:p w14:paraId="5621E7FC" w14:textId="77777777" w:rsidR="00430821" w:rsidRDefault="00430821" w:rsidP="00510DF6">
      <w:pPr>
        <w:spacing w:line="360" w:lineRule="auto"/>
      </w:pPr>
    </w:p>
    <w:p w14:paraId="6DCD9F16" w14:textId="77777777" w:rsidR="00430821" w:rsidRDefault="00430821" w:rsidP="00510DF6">
      <w:pPr>
        <w:spacing w:line="360" w:lineRule="auto"/>
      </w:pPr>
      <w:r>
        <w:t xml:space="preserve">If Angus Housing Association has reasonable grounds to believe that a joint tenant has abandoned their tenancy, that tenant will be given notification in writing that their interest in the property will be terminated within twenty-eight days.  If there is no response from the member at the end of the twenty-eight days notice and the association has reasonable grounds for believing that the member has abandoned the property, a second notice will be served which will terminate that joint </w:t>
      </w:r>
      <w:proofErr w:type="gramStart"/>
      <w:r>
        <w:t>tenants</w:t>
      </w:r>
      <w:proofErr w:type="gramEnd"/>
      <w:r>
        <w:t xml:space="preserve"> </w:t>
      </w:r>
      <w:r w:rsidRPr="00430821">
        <w:rPr>
          <w:b/>
          <w:i/>
        </w:rPr>
        <w:t xml:space="preserve">interest </w:t>
      </w:r>
      <w:r>
        <w:t>in the tenancy after a further twenty-eight days.</w:t>
      </w:r>
    </w:p>
    <w:p w14:paraId="045D0874" w14:textId="77777777" w:rsidR="00946AFC" w:rsidRDefault="00946AFC" w:rsidP="00510DF6">
      <w:pPr>
        <w:spacing w:line="360" w:lineRule="auto"/>
      </w:pPr>
    </w:p>
    <w:p w14:paraId="001A0E8E" w14:textId="77777777" w:rsidR="002D7BF0" w:rsidRDefault="00430821" w:rsidP="00510DF6">
      <w:pPr>
        <w:spacing w:line="360" w:lineRule="auto"/>
      </w:pPr>
      <w:proofErr w:type="gramStart"/>
      <w:r>
        <w:t>Therefore</w:t>
      </w:r>
      <w:proofErr w:type="gramEnd"/>
      <w:r>
        <w:t xml:space="preserve"> the joint tenant’s </w:t>
      </w:r>
      <w:r w:rsidRPr="008A07A0">
        <w:rPr>
          <w:b/>
          <w:i/>
        </w:rPr>
        <w:t>interest</w:t>
      </w:r>
      <w:r>
        <w:t xml:space="preserve"> in the property will end fifty-six days following the serving of the first notice.  It should be noted that the second notice does </w:t>
      </w:r>
      <w:r w:rsidR="008A07A0">
        <w:t xml:space="preserve">not terminate the tenancy, which will continue in the remaining joint </w:t>
      </w:r>
      <w:r w:rsidR="002D7BF0">
        <w:t>tenant’s</w:t>
      </w:r>
      <w:r w:rsidR="008A07A0">
        <w:t xml:space="preserve"> name.</w:t>
      </w:r>
      <w:r w:rsidR="002D7BF0">
        <w:t xml:space="preserve">  A joint tenant who has abandoned their interest in the property has eight weeks to appeal against the decision. </w:t>
      </w:r>
    </w:p>
    <w:p w14:paraId="02AD0AD9" w14:textId="77777777" w:rsidR="002D7BF0" w:rsidRDefault="002D7BF0" w:rsidP="00510DF6">
      <w:pPr>
        <w:spacing w:line="360" w:lineRule="auto"/>
      </w:pPr>
    </w:p>
    <w:p w14:paraId="4385CF38" w14:textId="77777777" w:rsidR="00A668AC" w:rsidRDefault="002D7BF0" w:rsidP="002D7BF0">
      <w:pPr>
        <w:spacing w:line="360" w:lineRule="auto"/>
      </w:pPr>
      <w:r>
        <w:t xml:space="preserve">If the joint tenant who abandoned leaves personal belongings in the property, and the remaining member does not want them, the association has no legal obligation to remove these belongings from the property.  However, discretion can be exercised.  </w:t>
      </w:r>
      <w:r w:rsidR="00A668AC">
        <w:t xml:space="preserve">Copies of the notices will also be served on the other joint tenant(s)  </w:t>
      </w:r>
    </w:p>
    <w:p w14:paraId="60E1C816" w14:textId="77777777" w:rsidR="00400F31" w:rsidRDefault="00400F31" w:rsidP="00510DF6">
      <w:pPr>
        <w:spacing w:line="360" w:lineRule="auto"/>
      </w:pPr>
    </w:p>
    <w:p w14:paraId="50C5D95F" w14:textId="77777777" w:rsidR="00A668AC" w:rsidRDefault="00A668AC" w:rsidP="00510DF6">
      <w:pPr>
        <w:numPr>
          <w:ilvl w:val="0"/>
          <w:numId w:val="7"/>
        </w:numPr>
        <w:spacing w:line="360" w:lineRule="auto"/>
        <w:rPr>
          <w:b/>
        </w:rPr>
      </w:pPr>
      <w:r>
        <w:rPr>
          <w:b/>
        </w:rPr>
        <w:lastRenderedPageBreak/>
        <w:t xml:space="preserve">      Court Action</w:t>
      </w:r>
    </w:p>
    <w:p w14:paraId="5130E222" w14:textId="77777777" w:rsidR="00A668AC" w:rsidRDefault="00A668AC" w:rsidP="00510DF6">
      <w:pPr>
        <w:spacing w:line="360" w:lineRule="auto"/>
        <w:rPr>
          <w:b/>
        </w:rPr>
      </w:pPr>
    </w:p>
    <w:p w14:paraId="5B601D46" w14:textId="77777777" w:rsidR="00A668AC" w:rsidRDefault="00A668AC" w:rsidP="00510DF6">
      <w:pPr>
        <w:spacing w:line="360" w:lineRule="auto"/>
      </w:pPr>
      <w:r>
        <w:t>Tenants have 6 months from the date of repossession in which to complain to the Courts. If the Court holds that A</w:t>
      </w:r>
      <w:r w:rsidR="003B168A">
        <w:t xml:space="preserve">ngus Housing Association </w:t>
      </w:r>
      <w:r>
        <w:t xml:space="preserve">failed to comply with the statutory procedures, or did not have reasonable grounds for finding that the house was abandoned, the Court may instruct the tenancy to continue (if the house has not been relet) or, alternatively, </w:t>
      </w:r>
      <w:proofErr w:type="gramStart"/>
      <w:r>
        <w:t>will  ensure</w:t>
      </w:r>
      <w:proofErr w:type="gramEnd"/>
      <w:r>
        <w:t xml:space="preserve"> </w:t>
      </w:r>
      <w:r w:rsidR="003B168A">
        <w:t xml:space="preserve">the association </w:t>
      </w:r>
      <w:r>
        <w:t xml:space="preserve">makes suitable alternative accommodation available to the tenant. </w:t>
      </w:r>
    </w:p>
    <w:p w14:paraId="114FE7FD" w14:textId="77777777" w:rsidR="00A668AC" w:rsidRDefault="00A668AC" w:rsidP="00510DF6">
      <w:pPr>
        <w:spacing w:line="360" w:lineRule="auto"/>
      </w:pPr>
      <w:r>
        <w:t xml:space="preserve"> </w:t>
      </w:r>
    </w:p>
    <w:p w14:paraId="41839B6B" w14:textId="77777777" w:rsidR="00BC1B57" w:rsidRDefault="00BC1B57" w:rsidP="00BC1B57">
      <w:pPr>
        <w:numPr>
          <w:ilvl w:val="0"/>
          <w:numId w:val="7"/>
        </w:numPr>
        <w:spacing w:line="360" w:lineRule="auto"/>
        <w:rPr>
          <w:b/>
        </w:rPr>
      </w:pPr>
      <w:r w:rsidRPr="00BC1B57">
        <w:rPr>
          <w:b/>
        </w:rPr>
        <w:t xml:space="preserve">Equal Opportunities </w:t>
      </w:r>
    </w:p>
    <w:p w14:paraId="12812B0B" w14:textId="77777777" w:rsidR="00177594" w:rsidRDefault="00177594" w:rsidP="00177594">
      <w:pPr>
        <w:spacing w:line="360" w:lineRule="auto"/>
        <w:rPr>
          <w:rFonts w:eastAsia="Arial" w:cs="Arial"/>
        </w:rPr>
      </w:pPr>
    </w:p>
    <w:p w14:paraId="7AC28D75" w14:textId="1D70D144" w:rsidR="00177594" w:rsidRDefault="00177594" w:rsidP="00177594">
      <w:pPr>
        <w:spacing w:line="360" w:lineRule="auto"/>
        <w:rPr>
          <w:rFonts w:eastAsia="Arial"/>
        </w:rPr>
      </w:pPr>
      <w:r w:rsidRPr="58A7F65F">
        <w:rPr>
          <w:rFonts w:eastAsia="Arial" w:cs="Arial"/>
        </w:rPr>
        <w:t xml:space="preserve">In developing and implementing policies covering all aspects of our work, </w:t>
      </w:r>
      <w:r>
        <w:tab/>
      </w:r>
      <w:r w:rsidRPr="58A7F65F">
        <w:rPr>
          <w:rFonts w:eastAsia="Arial" w:cs="Arial"/>
        </w:rPr>
        <w:t>Angus Housing Association will ensure that our strong principles and commitment to equality of opportunity are evident. In line with the Housing (Scotland) Act 2001 the Association operates in a manner which encourages equal opportunities and observes the equal opportunity requirements described in Section 106 of the Act. The Association also takes account of all applicable legislation, including the Equality Act 2010 and relevant Codes of Practice issued by the Equality and Human Rights Commission -</w:t>
      </w:r>
    </w:p>
    <w:p w14:paraId="7B0F43AF" w14:textId="77777777" w:rsidR="00177594" w:rsidRDefault="00177594" w:rsidP="00177594">
      <w:pPr>
        <w:spacing w:line="360" w:lineRule="auto"/>
        <w:rPr>
          <w:rFonts w:eastAsia="Arial" w:cs="Arial"/>
        </w:rPr>
      </w:pPr>
    </w:p>
    <w:p w14:paraId="14B9B618" w14:textId="2B24F61C" w:rsidR="00177594" w:rsidRDefault="00177594" w:rsidP="00177594">
      <w:pPr>
        <w:spacing w:line="360" w:lineRule="auto"/>
        <w:rPr>
          <w:rFonts w:eastAsia="Arial"/>
        </w:rPr>
      </w:pPr>
      <w:r w:rsidRPr="58A7F65F">
        <w:rPr>
          <w:rFonts w:eastAsia="Arial" w:cs="Arial"/>
        </w:rPr>
        <w:t xml:space="preserve">Our Policy recognises the protected characteristics as defined by the Equalities Act </w:t>
      </w:r>
    </w:p>
    <w:tbl>
      <w:tblPr>
        <w:tblW w:w="0" w:type="auto"/>
        <w:tblLayout w:type="fixed"/>
        <w:tblLook w:val="04A0" w:firstRow="1" w:lastRow="0" w:firstColumn="1" w:lastColumn="0" w:noHBand="0" w:noVBand="1"/>
      </w:tblPr>
      <w:tblGrid>
        <w:gridCol w:w="4875"/>
        <w:gridCol w:w="4140"/>
      </w:tblGrid>
      <w:tr w:rsidR="00177594" w14:paraId="567EF092" w14:textId="77777777" w:rsidTr="00573768">
        <w:trPr>
          <w:trHeight w:val="300"/>
        </w:trPr>
        <w:tc>
          <w:tcPr>
            <w:tcW w:w="4875" w:type="dxa"/>
            <w:tcMar>
              <w:left w:w="108" w:type="dxa"/>
              <w:right w:w="108" w:type="dxa"/>
            </w:tcMar>
          </w:tcPr>
          <w:p w14:paraId="338B8279" w14:textId="77777777" w:rsidR="00177594" w:rsidRDefault="00177594" w:rsidP="00177594">
            <w:pPr>
              <w:spacing w:line="360" w:lineRule="auto"/>
              <w:rPr>
                <w:rFonts w:cs="Calibri"/>
              </w:rPr>
            </w:pPr>
          </w:p>
          <w:p w14:paraId="0A1927F0" w14:textId="77777777" w:rsidR="00177594" w:rsidRDefault="00177594" w:rsidP="00177594">
            <w:pPr>
              <w:pStyle w:val="ListParagraph"/>
              <w:numPr>
                <w:ilvl w:val="0"/>
                <w:numId w:val="30"/>
              </w:numPr>
              <w:spacing w:after="0" w:line="360" w:lineRule="auto"/>
              <w:rPr>
                <w:rFonts w:ascii="Arial" w:eastAsia="Arial" w:hAnsi="Arial"/>
                <w:sz w:val="24"/>
                <w:szCs w:val="24"/>
                <w:lang w:val="en-US"/>
              </w:rPr>
            </w:pPr>
            <w:r w:rsidRPr="58A7F65F">
              <w:rPr>
                <w:rFonts w:ascii="Arial" w:eastAsia="Arial" w:hAnsi="Arial"/>
                <w:sz w:val="24"/>
                <w:szCs w:val="24"/>
                <w:lang w:val="en-US"/>
              </w:rPr>
              <w:t>Age</w:t>
            </w:r>
          </w:p>
          <w:p w14:paraId="021DDCB6" w14:textId="77777777" w:rsidR="00177594" w:rsidRDefault="00177594" w:rsidP="00177594">
            <w:pPr>
              <w:pStyle w:val="ListParagraph"/>
              <w:numPr>
                <w:ilvl w:val="0"/>
                <w:numId w:val="30"/>
              </w:numPr>
              <w:spacing w:after="0" w:line="360" w:lineRule="auto"/>
              <w:rPr>
                <w:rFonts w:ascii="Arial" w:eastAsia="Arial" w:hAnsi="Arial"/>
                <w:sz w:val="24"/>
                <w:szCs w:val="24"/>
                <w:lang w:val="en-US"/>
              </w:rPr>
            </w:pPr>
            <w:r w:rsidRPr="58A7F65F">
              <w:rPr>
                <w:rFonts w:ascii="Arial" w:eastAsia="Arial" w:hAnsi="Arial"/>
                <w:sz w:val="24"/>
                <w:szCs w:val="24"/>
                <w:lang w:val="en-US"/>
              </w:rPr>
              <w:t>Disability</w:t>
            </w:r>
          </w:p>
          <w:p w14:paraId="4EA8E046" w14:textId="77777777" w:rsidR="00177594" w:rsidRDefault="00177594" w:rsidP="00177594">
            <w:pPr>
              <w:pStyle w:val="ListParagraph"/>
              <w:numPr>
                <w:ilvl w:val="0"/>
                <w:numId w:val="30"/>
              </w:numPr>
              <w:spacing w:after="0" w:line="360" w:lineRule="auto"/>
              <w:rPr>
                <w:rFonts w:ascii="Arial" w:eastAsia="Arial" w:hAnsi="Arial"/>
                <w:sz w:val="24"/>
                <w:szCs w:val="24"/>
                <w:lang w:val="en-US"/>
              </w:rPr>
            </w:pPr>
            <w:r w:rsidRPr="58A7F65F">
              <w:rPr>
                <w:rFonts w:ascii="Arial" w:eastAsia="Arial" w:hAnsi="Arial"/>
                <w:sz w:val="24"/>
                <w:szCs w:val="24"/>
                <w:lang w:val="en-US"/>
              </w:rPr>
              <w:t>Gender reassignment</w:t>
            </w:r>
          </w:p>
          <w:p w14:paraId="3FB0B313" w14:textId="77777777" w:rsidR="00177594" w:rsidRDefault="00177594" w:rsidP="00177594">
            <w:pPr>
              <w:pStyle w:val="ListParagraph"/>
              <w:numPr>
                <w:ilvl w:val="0"/>
                <w:numId w:val="30"/>
              </w:numPr>
              <w:spacing w:after="0" w:line="360" w:lineRule="auto"/>
              <w:rPr>
                <w:rFonts w:ascii="Arial" w:eastAsia="Arial" w:hAnsi="Arial"/>
                <w:sz w:val="24"/>
                <w:szCs w:val="24"/>
                <w:lang w:val="en-US"/>
              </w:rPr>
            </w:pPr>
            <w:r w:rsidRPr="58A7F65F">
              <w:rPr>
                <w:rFonts w:ascii="Arial" w:eastAsia="Arial" w:hAnsi="Arial"/>
                <w:sz w:val="24"/>
                <w:szCs w:val="24"/>
                <w:lang w:val="en-US"/>
              </w:rPr>
              <w:t>Marriage and civil partnership</w:t>
            </w:r>
          </w:p>
          <w:p w14:paraId="78D2C1FB" w14:textId="77777777" w:rsidR="00177594" w:rsidRDefault="00177594" w:rsidP="00177594">
            <w:pPr>
              <w:pStyle w:val="ListParagraph"/>
              <w:numPr>
                <w:ilvl w:val="0"/>
                <w:numId w:val="30"/>
              </w:numPr>
              <w:spacing w:after="0" w:line="360" w:lineRule="auto"/>
              <w:rPr>
                <w:rFonts w:ascii="Arial" w:eastAsia="Arial" w:hAnsi="Arial"/>
                <w:sz w:val="24"/>
                <w:szCs w:val="24"/>
                <w:lang w:val="en-US"/>
              </w:rPr>
            </w:pPr>
            <w:r w:rsidRPr="58A7F65F">
              <w:rPr>
                <w:rFonts w:ascii="Arial" w:eastAsia="Arial" w:hAnsi="Arial"/>
                <w:sz w:val="24"/>
                <w:szCs w:val="24"/>
                <w:lang w:val="en-US"/>
              </w:rPr>
              <w:t>Pregnancy and maternity</w:t>
            </w:r>
          </w:p>
        </w:tc>
        <w:tc>
          <w:tcPr>
            <w:tcW w:w="4140" w:type="dxa"/>
            <w:tcMar>
              <w:left w:w="108" w:type="dxa"/>
              <w:right w:w="108" w:type="dxa"/>
            </w:tcMar>
          </w:tcPr>
          <w:p w14:paraId="4868B178" w14:textId="77777777" w:rsidR="00177594" w:rsidRDefault="00177594" w:rsidP="00177594">
            <w:pPr>
              <w:spacing w:line="360" w:lineRule="auto"/>
            </w:pPr>
            <w:r w:rsidRPr="58A7F65F">
              <w:rPr>
                <w:rFonts w:ascii="Calibri" w:eastAsia="Calibri" w:hAnsi="Calibri" w:cs="Calibri"/>
              </w:rPr>
              <w:t xml:space="preserve"> </w:t>
            </w:r>
          </w:p>
          <w:p w14:paraId="736D2906" w14:textId="77777777" w:rsidR="00177594" w:rsidRDefault="00177594" w:rsidP="00177594">
            <w:pPr>
              <w:pStyle w:val="ListParagraph"/>
              <w:numPr>
                <w:ilvl w:val="0"/>
                <w:numId w:val="30"/>
              </w:numPr>
              <w:spacing w:after="0" w:line="360" w:lineRule="auto"/>
              <w:rPr>
                <w:rFonts w:ascii="Arial" w:eastAsia="Arial" w:hAnsi="Arial"/>
                <w:sz w:val="24"/>
                <w:szCs w:val="24"/>
                <w:lang w:val="en-US"/>
              </w:rPr>
            </w:pPr>
            <w:r w:rsidRPr="58A7F65F">
              <w:rPr>
                <w:rFonts w:ascii="Arial" w:eastAsia="Arial" w:hAnsi="Arial"/>
                <w:sz w:val="24"/>
                <w:szCs w:val="24"/>
                <w:lang w:val="en-US"/>
              </w:rPr>
              <w:t>Race</w:t>
            </w:r>
          </w:p>
          <w:p w14:paraId="3DCBC29E" w14:textId="77777777" w:rsidR="00177594" w:rsidRDefault="00177594" w:rsidP="00177594">
            <w:pPr>
              <w:pStyle w:val="ListParagraph"/>
              <w:numPr>
                <w:ilvl w:val="0"/>
                <w:numId w:val="30"/>
              </w:numPr>
              <w:spacing w:after="0" w:line="360" w:lineRule="auto"/>
              <w:rPr>
                <w:rFonts w:ascii="Arial" w:eastAsia="Arial" w:hAnsi="Arial"/>
                <w:sz w:val="24"/>
                <w:szCs w:val="24"/>
                <w:lang w:val="en-US"/>
              </w:rPr>
            </w:pPr>
            <w:r w:rsidRPr="58A7F65F">
              <w:rPr>
                <w:rFonts w:ascii="Arial" w:eastAsia="Arial" w:hAnsi="Arial"/>
                <w:sz w:val="24"/>
                <w:szCs w:val="24"/>
                <w:lang w:val="en-US"/>
              </w:rPr>
              <w:t>Religion or belief</w:t>
            </w:r>
          </w:p>
          <w:p w14:paraId="4CF5EF8E" w14:textId="77777777" w:rsidR="00177594" w:rsidRDefault="00177594" w:rsidP="00177594">
            <w:pPr>
              <w:pStyle w:val="ListParagraph"/>
              <w:numPr>
                <w:ilvl w:val="0"/>
                <w:numId w:val="30"/>
              </w:numPr>
              <w:spacing w:after="0" w:line="360" w:lineRule="auto"/>
              <w:rPr>
                <w:rFonts w:ascii="Arial" w:eastAsia="Arial" w:hAnsi="Arial"/>
                <w:sz w:val="24"/>
                <w:szCs w:val="24"/>
                <w:lang w:val="en-US"/>
              </w:rPr>
            </w:pPr>
            <w:r w:rsidRPr="58A7F65F">
              <w:rPr>
                <w:rFonts w:ascii="Arial" w:eastAsia="Arial" w:hAnsi="Arial"/>
                <w:sz w:val="24"/>
                <w:szCs w:val="24"/>
                <w:lang w:val="en-US"/>
              </w:rPr>
              <w:t>Gender</w:t>
            </w:r>
          </w:p>
          <w:p w14:paraId="11F3F15B" w14:textId="77777777" w:rsidR="00177594" w:rsidRDefault="00177594" w:rsidP="00177594">
            <w:pPr>
              <w:pStyle w:val="ListParagraph"/>
              <w:numPr>
                <w:ilvl w:val="0"/>
                <w:numId w:val="30"/>
              </w:numPr>
              <w:spacing w:after="0" w:line="360" w:lineRule="auto"/>
              <w:rPr>
                <w:rFonts w:ascii="Arial" w:eastAsia="Arial" w:hAnsi="Arial"/>
                <w:sz w:val="24"/>
                <w:szCs w:val="24"/>
                <w:lang w:val="en-US"/>
              </w:rPr>
            </w:pPr>
            <w:r w:rsidRPr="58A7F65F">
              <w:rPr>
                <w:rFonts w:ascii="Arial" w:eastAsia="Arial" w:hAnsi="Arial"/>
                <w:sz w:val="24"/>
                <w:szCs w:val="24"/>
                <w:lang w:val="en-US"/>
              </w:rPr>
              <w:t>Sexual orientation</w:t>
            </w:r>
          </w:p>
        </w:tc>
      </w:tr>
    </w:tbl>
    <w:p w14:paraId="5EDFF9F0" w14:textId="77777777" w:rsidR="00177594" w:rsidRDefault="00177594" w:rsidP="00177594">
      <w:pPr>
        <w:spacing w:line="360" w:lineRule="auto"/>
        <w:ind w:left="720"/>
        <w:rPr>
          <w:lang w:eastAsia="zh-CN"/>
        </w:rPr>
      </w:pPr>
    </w:p>
    <w:p w14:paraId="5184516A" w14:textId="77777777" w:rsidR="00177594" w:rsidRPr="002F59FA" w:rsidRDefault="00177594" w:rsidP="00177594">
      <w:pPr>
        <w:overflowPunct w:val="0"/>
        <w:autoSpaceDE w:val="0"/>
        <w:adjustRightInd w:val="0"/>
        <w:spacing w:line="360" w:lineRule="auto"/>
        <w:rPr>
          <w:lang w:eastAsia="zh-CN"/>
        </w:rPr>
      </w:pPr>
      <w:r w:rsidRPr="58A7F65F">
        <w:rPr>
          <w:lang w:eastAsia="zh-CN"/>
        </w:rPr>
        <w:t>In line with this commitment to equal opportunities, this policy and any summary or information leaflet can be made available free of charge in a variety of formats including large print, translated into another language or on audio tape.</w:t>
      </w:r>
    </w:p>
    <w:p w14:paraId="0F2ADF3B" w14:textId="77777777" w:rsidR="00177594" w:rsidRDefault="00177594" w:rsidP="00BC1B57">
      <w:pPr>
        <w:spacing w:line="360" w:lineRule="auto"/>
        <w:rPr>
          <w:b/>
        </w:rPr>
      </w:pPr>
    </w:p>
    <w:p w14:paraId="339CD11D" w14:textId="77777777" w:rsidR="00BC1B57" w:rsidRDefault="00BC1B57" w:rsidP="00510DF6">
      <w:pPr>
        <w:spacing w:line="360" w:lineRule="auto"/>
      </w:pPr>
    </w:p>
    <w:p w14:paraId="220F0C32" w14:textId="77777777" w:rsidR="00A668AC" w:rsidRDefault="00A668AC" w:rsidP="00510DF6">
      <w:pPr>
        <w:numPr>
          <w:ilvl w:val="0"/>
          <w:numId w:val="7"/>
        </w:numPr>
        <w:spacing w:line="360" w:lineRule="auto"/>
        <w:rPr>
          <w:b/>
        </w:rPr>
      </w:pPr>
      <w:r>
        <w:rPr>
          <w:b/>
        </w:rPr>
        <w:t xml:space="preserve">   Register of Abandoned Houses</w:t>
      </w:r>
    </w:p>
    <w:p w14:paraId="365398A8" w14:textId="77777777" w:rsidR="00A668AC" w:rsidRDefault="00A668AC" w:rsidP="00510DF6">
      <w:pPr>
        <w:spacing w:line="360" w:lineRule="auto"/>
      </w:pPr>
    </w:p>
    <w:p w14:paraId="40142B3D" w14:textId="77777777" w:rsidR="003B168A" w:rsidRDefault="003B168A" w:rsidP="00510DF6">
      <w:pPr>
        <w:spacing w:line="360" w:lineRule="auto"/>
      </w:pPr>
      <w:r>
        <w:t xml:space="preserve">A register must be kept of all abandoned tenancies and where property has been found this must be recorded.  A house </w:t>
      </w:r>
      <w:r w:rsidR="005B686E">
        <w:t>will</w:t>
      </w:r>
      <w:r>
        <w:t xml:space="preserve"> remain on the register for five years from the date of repossession and the register should be open for public inspection.</w:t>
      </w:r>
    </w:p>
    <w:p w14:paraId="60CBA491" w14:textId="77777777" w:rsidR="00A668AC" w:rsidRDefault="00A668AC"/>
    <w:p w14:paraId="7F752D9B" w14:textId="77777777" w:rsidR="00510DF6" w:rsidRPr="005B686E" w:rsidRDefault="00B943CB" w:rsidP="00B943CB">
      <w:pPr>
        <w:spacing w:line="360" w:lineRule="auto"/>
        <w:rPr>
          <w:b/>
        </w:rPr>
      </w:pPr>
      <w:r w:rsidRPr="005B686E">
        <w:rPr>
          <w:b/>
        </w:rPr>
        <w:t>10.</w:t>
      </w:r>
      <w:r w:rsidRPr="005B686E">
        <w:rPr>
          <w:b/>
        </w:rPr>
        <w:tab/>
        <w:t>Monitoring and Reporting</w:t>
      </w:r>
    </w:p>
    <w:p w14:paraId="4D6398D5" w14:textId="77777777" w:rsidR="00B943CB" w:rsidRDefault="00B943CB" w:rsidP="00B943CB">
      <w:pPr>
        <w:spacing w:line="360" w:lineRule="auto"/>
      </w:pPr>
    </w:p>
    <w:p w14:paraId="00EAF13C" w14:textId="35CB0B7E" w:rsidR="005B686E" w:rsidRDefault="005B686E" w:rsidP="00B943CB">
      <w:pPr>
        <w:spacing w:line="360" w:lineRule="auto"/>
      </w:pPr>
      <w:r>
        <w:t xml:space="preserve">It will be the responsibility of the </w:t>
      </w:r>
      <w:r w:rsidR="00607E4C">
        <w:t>Director of Housing Services</w:t>
      </w:r>
      <w:r>
        <w:t xml:space="preserve"> to provide a quarterly report to the </w:t>
      </w:r>
      <w:r w:rsidR="007000CD">
        <w:t>Service Delivery</w:t>
      </w:r>
      <w:r>
        <w:t xml:space="preserve"> Sub Committee on the </w:t>
      </w:r>
    </w:p>
    <w:p w14:paraId="503533B5" w14:textId="77777777" w:rsidR="005B686E" w:rsidRDefault="005B686E" w:rsidP="00B943CB">
      <w:pPr>
        <w:spacing w:line="360" w:lineRule="auto"/>
      </w:pPr>
    </w:p>
    <w:p w14:paraId="240D8757" w14:textId="43FE567D" w:rsidR="005B686E" w:rsidRDefault="005B686E" w:rsidP="00FE09A8">
      <w:pPr>
        <w:spacing w:line="360" w:lineRule="auto"/>
      </w:pPr>
    </w:p>
    <w:p w14:paraId="360DD8B7" w14:textId="77777777" w:rsidR="005B686E" w:rsidRDefault="005B686E" w:rsidP="008211AC">
      <w:pPr>
        <w:numPr>
          <w:ilvl w:val="0"/>
          <w:numId w:val="25"/>
        </w:numPr>
        <w:spacing w:line="360" w:lineRule="auto"/>
      </w:pPr>
      <w:r>
        <w:t xml:space="preserve">Number of abandonments </w:t>
      </w:r>
      <w:proofErr w:type="gramStart"/>
      <w:r>
        <w:t>completed</w:t>
      </w:r>
      <w:proofErr w:type="gramEnd"/>
    </w:p>
    <w:p w14:paraId="4C3FC297" w14:textId="77777777" w:rsidR="00B943CB" w:rsidRDefault="00B943CB" w:rsidP="00B943CB">
      <w:pPr>
        <w:spacing w:line="360" w:lineRule="auto"/>
      </w:pPr>
    </w:p>
    <w:p w14:paraId="4518FA17" w14:textId="2686637D" w:rsidR="005B686E" w:rsidRDefault="005B686E" w:rsidP="00B943CB">
      <w:pPr>
        <w:spacing w:line="360" w:lineRule="auto"/>
      </w:pPr>
      <w:r>
        <w:t xml:space="preserve">Annually the </w:t>
      </w:r>
      <w:r w:rsidR="00FE09A8">
        <w:t>Director of Housing Services</w:t>
      </w:r>
      <w:r>
        <w:t xml:space="preserve"> will provide a report on the following key information –</w:t>
      </w:r>
    </w:p>
    <w:p w14:paraId="6A3F1906" w14:textId="77777777" w:rsidR="005B686E" w:rsidRDefault="005B686E" w:rsidP="00B943CB">
      <w:pPr>
        <w:spacing w:line="360" w:lineRule="auto"/>
      </w:pPr>
    </w:p>
    <w:p w14:paraId="11AFDEC3" w14:textId="77777777" w:rsidR="005B686E" w:rsidRDefault="005B686E" w:rsidP="008211AC">
      <w:pPr>
        <w:numPr>
          <w:ilvl w:val="0"/>
          <w:numId w:val="26"/>
        </w:numPr>
        <w:spacing w:line="360" w:lineRule="auto"/>
      </w:pPr>
      <w:r>
        <w:t xml:space="preserve">Number of abandonment procedures </w:t>
      </w:r>
      <w:proofErr w:type="gramStart"/>
      <w:r>
        <w:t>commenced</w:t>
      </w:r>
      <w:proofErr w:type="gramEnd"/>
    </w:p>
    <w:p w14:paraId="2301A1AE" w14:textId="77777777" w:rsidR="005B686E" w:rsidRDefault="005B686E" w:rsidP="008211AC">
      <w:pPr>
        <w:numPr>
          <w:ilvl w:val="0"/>
          <w:numId w:val="26"/>
        </w:numPr>
        <w:spacing w:line="360" w:lineRule="auto"/>
      </w:pPr>
      <w:r>
        <w:t xml:space="preserve">Number of abandonment procedures </w:t>
      </w:r>
      <w:proofErr w:type="gramStart"/>
      <w:r>
        <w:t>completed</w:t>
      </w:r>
      <w:proofErr w:type="gramEnd"/>
      <w:r>
        <w:t xml:space="preserve"> </w:t>
      </w:r>
    </w:p>
    <w:p w14:paraId="08E80710" w14:textId="658FB4CB" w:rsidR="005B686E" w:rsidRDefault="005B686E" w:rsidP="00FE09A8">
      <w:pPr>
        <w:numPr>
          <w:ilvl w:val="0"/>
          <w:numId w:val="26"/>
        </w:numPr>
        <w:spacing w:line="360" w:lineRule="auto"/>
      </w:pPr>
      <w:r>
        <w:t xml:space="preserve">Number of abandonment procedures </w:t>
      </w:r>
      <w:proofErr w:type="gramStart"/>
      <w:r>
        <w:t>cancelle</w:t>
      </w:r>
      <w:r w:rsidR="00FE09A8">
        <w:t>d</w:t>
      </w:r>
      <w:proofErr w:type="gramEnd"/>
    </w:p>
    <w:p w14:paraId="486398C0" w14:textId="77777777" w:rsidR="00C21188" w:rsidRDefault="00C21188" w:rsidP="00B943CB">
      <w:pPr>
        <w:spacing w:line="360" w:lineRule="auto"/>
      </w:pPr>
    </w:p>
    <w:p w14:paraId="2FE7D079" w14:textId="77777777" w:rsidR="00C21188" w:rsidRPr="00C21188" w:rsidRDefault="00C21188" w:rsidP="00B943CB">
      <w:pPr>
        <w:spacing w:line="360" w:lineRule="auto"/>
        <w:rPr>
          <w:b/>
        </w:rPr>
      </w:pPr>
      <w:r w:rsidRPr="00C21188">
        <w:rPr>
          <w:b/>
        </w:rPr>
        <w:t>11.</w:t>
      </w:r>
      <w:r w:rsidRPr="00C21188">
        <w:rPr>
          <w:b/>
        </w:rPr>
        <w:tab/>
        <w:t>Review</w:t>
      </w:r>
    </w:p>
    <w:p w14:paraId="6B3579D0" w14:textId="77777777" w:rsidR="00C21188" w:rsidRDefault="00C21188" w:rsidP="00B943CB">
      <w:pPr>
        <w:spacing w:line="360" w:lineRule="auto"/>
      </w:pPr>
    </w:p>
    <w:p w14:paraId="7D8F01D1" w14:textId="77777777" w:rsidR="00C21188" w:rsidRDefault="00C21188" w:rsidP="00B943CB">
      <w:pPr>
        <w:spacing w:line="360" w:lineRule="auto"/>
      </w:pPr>
      <w:r>
        <w:t xml:space="preserve">The targets for monitoring the progress of abandoned properties will be reviewed annually, </w:t>
      </w:r>
      <w:proofErr w:type="gramStart"/>
      <w:r>
        <w:t>taking into account</w:t>
      </w:r>
      <w:proofErr w:type="gramEnd"/>
      <w:r>
        <w:t xml:space="preserve"> any legislative or other changes.</w:t>
      </w:r>
    </w:p>
    <w:p w14:paraId="7245A66F" w14:textId="77777777" w:rsidR="00C21188" w:rsidRDefault="00C21188" w:rsidP="00B943CB">
      <w:pPr>
        <w:spacing w:line="360" w:lineRule="auto"/>
      </w:pPr>
    </w:p>
    <w:p w14:paraId="750EE5BC" w14:textId="77777777" w:rsidR="00C21188" w:rsidRDefault="00C21188" w:rsidP="00B943CB">
      <w:pPr>
        <w:spacing w:line="360" w:lineRule="auto"/>
      </w:pPr>
      <w:r>
        <w:t>When reviewing the management of abandoned properties, the following information will be used to improve service delivery by –</w:t>
      </w:r>
    </w:p>
    <w:p w14:paraId="57904F69" w14:textId="77777777" w:rsidR="00C21188" w:rsidRDefault="00C21188" w:rsidP="00B943CB">
      <w:pPr>
        <w:spacing w:line="360" w:lineRule="auto"/>
      </w:pPr>
    </w:p>
    <w:p w14:paraId="5643618F" w14:textId="77777777" w:rsidR="00C21188" w:rsidRDefault="00C21188" w:rsidP="008211AC">
      <w:pPr>
        <w:numPr>
          <w:ilvl w:val="0"/>
          <w:numId w:val="27"/>
        </w:numPr>
        <w:spacing w:line="360" w:lineRule="auto"/>
      </w:pPr>
      <w:r>
        <w:t xml:space="preserve">Monitoring comments and complaints </w:t>
      </w:r>
      <w:proofErr w:type="gramStart"/>
      <w:r>
        <w:t>received</w:t>
      </w:r>
      <w:proofErr w:type="gramEnd"/>
      <w:r>
        <w:t xml:space="preserve"> </w:t>
      </w:r>
    </w:p>
    <w:p w14:paraId="720292CC" w14:textId="77777777" w:rsidR="00C21188" w:rsidRDefault="00C21188" w:rsidP="008211AC">
      <w:pPr>
        <w:numPr>
          <w:ilvl w:val="0"/>
          <w:numId w:val="27"/>
        </w:numPr>
        <w:spacing w:line="360" w:lineRule="auto"/>
      </w:pPr>
      <w:r>
        <w:lastRenderedPageBreak/>
        <w:t xml:space="preserve">The number of appeals to be re-housed by former tenant where an abandonment has taken </w:t>
      </w:r>
      <w:proofErr w:type="gramStart"/>
      <w:r>
        <w:t>place</w:t>
      </w:r>
      <w:proofErr w:type="gramEnd"/>
    </w:p>
    <w:p w14:paraId="67C692DE" w14:textId="77777777" w:rsidR="00C21188" w:rsidRDefault="00C21188" w:rsidP="008211AC">
      <w:pPr>
        <w:numPr>
          <w:ilvl w:val="0"/>
          <w:numId w:val="27"/>
        </w:numPr>
        <w:spacing w:line="360" w:lineRule="auto"/>
      </w:pPr>
      <w:r>
        <w:t>Feedback fr</w:t>
      </w:r>
      <w:r w:rsidR="00400F31">
        <w:t xml:space="preserve">om the Committee of Management and Service Delivery </w:t>
      </w:r>
      <w:r>
        <w:t>Sub Committees</w:t>
      </w:r>
    </w:p>
    <w:p w14:paraId="47FD4B1B" w14:textId="77777777" w:rsidR="008211AC" w:rsidRDefault="008211AC" w:rsidP="008211AC">
      <w:pPr>
        <w:spacing w:line="360" w:lineRule="auto"/>
      </w:pPr>
    </w:p>
    <w:p w14:paraId="5B371955" w14:textId="77777777" w:rsidR="00794366" w:rsidRDefault="008211AC" w:rsidP="008211AC">
      <w:pPr>
        <w:spacing w:line="360" w:lineRule="auto"/>
      </w:pPr>
      <w:r>
        <w:t xml:space="preserve">Unless recommended through analysis of the abandonment process, feedback from </w:t>
      </w:r>
      <w:r w:rsidR="00946AFC">
        <w:t>tenants</w:t>
      </w:r>
      <w:r>
        <w:t xml:space="preserve">, a change in legislation, the Abandonment Policy will be reviewed every </w:t>
      </w:r>
      <w:r w:rsidR="00946AFC">
        <w:t>five</w:t>
      </w:r>
      <w:r>
        <w:t xml:space="preserve"> years.</w:t>
      </w:r>
    </w:p>
    <w:p w14:paraId="6BD3B981" w14:textId="77777777" w:rsidR="00560C55" w:rsidRDefault="00560C55" w:rsidP="00560C55"/>
    <w:p w14:paraId="34806BB8" w14:textId="77777777" w:rsidR="00510DF6" w:rsidRDefault="00510DF6"/>
    <w:sectPr w:rsidR="00510DF6" w:rsidSect="00441850">
      <w:footerReference w:type="even" r:id="rId12"/>
      <w:footerReference w:type="default" r:id="rId13"/>
      <w:pgSz w:w="12240" w:h="15840"/>
      <w:pgMar w:top="851" w:right="1797" w:bottom="144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CD980C" w14:textId="77777777" w:rsidR="001573ED" w:rsidRDefault="001573ED">
      <w:r>
        <w:separator/>
      </w:r>
    </w:p>
  </w:endnote>
  <w:endnote w:type="continuationSeparator" w:id="0">
    <w:p w14:paraId="1C4F66EB" w14:textId="77777777" w:rsidR="001573ED" w:rsidRDefault="00157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aco">
    <w:altName w:val="Courier New"/>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975A8" w14:textId="77777777" w:rsidR="003D0217" w:rsidRDefault="003D02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4B3ABE9" w14:textId="77777777" w:rsidR="003D0217" w:rsidRDefault="003D02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7D35F" w14:textId="6AECADAA" w:rsidR="003D0217" w:rsidRDefault="003D02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73653">
      <w:rPr>
        <w:rStyle w:val="PageNumber"/>
        <w:noProof/>
      </w:rPr>
      <w:t>4</w:t>
    </w:r>
    <w:r>
      <w:rPr>
        <w:rStyle w:val="PageNumber"/>
      </w:rPr>
      <w:fldChar w:fldCharType="end"/>
    </w:r>
  </w:p>
  <w:p w14:paraId="3304CC7D" w14:textId="77777777" w:rsidR="003D0217" w:rsidRPr="00A34E00" w:rsidRDefault="003D0217" w:rsidP="00A34E00">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259135" w14:textId="77777777" w:rsidR="001573ED" w:rsidRDefault="001573ED">
      <w:r>
        <w:separator/>
      </w:r>
    </w:p>
  </w:footnote>
  <w:footnote w:type="continuationSeparator" w:id="0">
    <w:p w14:paraId="19F928AC" w14:textId="77777777" w:rsidR="001573ED" w:rsidRDefault="001573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B26F6"/>
    <w:multiLevelType w:val="hybridMultilevel"/>
    <w:tmpl w:val="4C8C0B40"/>
    <w:lvl w:ilvl="0" w:tplc="2326CA16">
      <w:start w:val="5"/>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8B951D9"/>
    <w:multiLevelType w:val="hybridMultilevel"/>
    <w:tmpl w:val="6D3E68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D17C68"/>
    <w:multiLevelType w:val="hybridMultilevel"/>
    <w:tmpl w:val="E914501A"/>
    <w:lvl w:ilvl="0" w:tplc="35683D62">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08DC10B6"/>
    <w:multiLevelType w:val="hybridMultilevel"/>
    <w:tmpl w:val="FC8ADA0E"/>
    <w:lvl w:ilvl="0" w:tplc="0809000F">
      <w:start w:val="5"/>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C304722"/>
    <w:multiLevelType w:val="hybridMultilevel"/>
    <w:tmpl w:val="0760330A"/>
    <w:lvl w:ilvl="0" w:tplc="666A5332">
      <w:start w:val="7"/>
      <w:numFmt w:val="decimal"/>
      <w:lvlText w:val="%1."/>
      <w:lvlJc w:val="left"/>
      <w:pPr>
        <w:tabs>
          <w:tab w:val="num" w:pos="1080"/>
        </w:tabs>
        <w:ind w:left="1080" w:hanging="720"/>
      </w:pPr>
      <w:rPr>
        <w:rFonts w:hint="default"/>
      </w:rPr>
    </w:lvl>
    <w:lvl w:ilvl="1" w:tplc="3564A986">
      <w:numFmt w:val="none"/>
      <w:lvlText w:val=""/>
      <w:lvlJc w:val="left"/>
      <w:pPr>
        <w:tabs>
          <w:tab w:val="num" w:pos="360"/>
        </w:tabs>
      </w:pPr>
    </w:lvl>
    <w:lvl w:ilvl="2" w:tplc="EE3886B6">
      <w:numFmt w:val="none"/>
      <w:lvlText w:val=""/>
      <w:lvlJc w:val="left"/>
      <w:pPr>
        <w:tabs>
          <w:tab w:val="num" w:pos="360"/>
        </w:tabs>
      </w:pPr>
    </w:lvl>
    <w:lvl w:ilvl="3" w:tplc="7A9AC732">
      <w:numFmt w:val="none"/>
      <w:lvlText w:val=""/>
      <w:lvlJc w:val="left"/>
      <w:pPr>
        <w:tabs>
          <w:tab w:val="num" w:pos="360"/>
        </w:tabs>
      </w:pPr>
    </w:lvl>
    <w:lvl w:ilvl="4" w:tplc="427E62AE">
      <w:numFmt w:val="none"/>
      <w:lvlText w:val=""/>
      <w:lvlJc w:val="left"/>
      <w:pPr>
        <w:tabs>
          <w:tab w:val="num" w:pos="360"/>
        </w:tabs>
      </w:pPr>
    </w:lvl>
    <w:lvl w:ilvl="5" w:tplc="4B4AC016">
      <w:numFmt w:val="none"/>
      <w:lvlText w:val=""/>
      <w:lvlJc w:val="left"/>
      <w:pPr>
        <w:tabs>
          <w:tab w:val="num" w:pos="360"/>
        </w:tabs>
      </w:pPr>
    </w:lvl>
    <w:lvl w:ilvl="6" w:tplc="C222241C">
      <w:numFmt w:val="none"/>
      <w:lvlText w:val=""/>
      <w:lvlJc w:val="left"/>
      <w:pPr>
        <w:tabs>
          <w:tab w:val="num" w:pos="360"/>
        </w:tabs>
      </w:pPr>
    </w:lvl>
    <w:lvl w:ilvl="7" w:tplc="9FD8BC1C">
      <w:numFmt w:val="none"/>
      <w:lvlText w:val=""/>
      <w:lvlJc w:val="left"/>
      <w:pPr>
        <w:tabs>
          <w:tab w:val="num" w:pos="360"/>
        </w:tabs>
      </w:pPr>
    </w:lvl>
    <w:lvl w:ilvl="8" w:tplc="F8E2BAF0">
      <w:numFmt w:val="none"/>
      <w:lvlText w:val=""/>
      <w:lvlJc w:val="left"/>
      <w:pPr>
        <w:tabs>
          <w:tab w:val="num" w:pos="360"/>
        </w:tabs>
      </w:pPr>
    </w:lvl>
  </w:abstractNum>
  <w:abstractNum w:abstractNumId="5" w15:restartNumberingAfterBreak="0">
    <w:nsid w:val="10751812"/>
    <w:multiLevelType w:val="hybridMultilevel"/>
    <w:tmpl w:val="45A42C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FB47A7"/>
    <w:multiLevelType w:val="hybridMultilevel"/>
    <w:tmpl w:val="29AC10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D91CFE"/>
    <w:multiLevelType w:val="hybridMultilevel"/>
    <w:tmpl w:val="EE5836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6A7FD9"/>
    <w:multiLevelType w:val="singleLevel"/>
    <w:tmpl w:val="01BCF53E"/>
    <w:lvl w:ilvl="0">
      <w:start w:val="7"/>
      <w:numFmt w:val="decimal"/>
      <w:lvlText w:val="%1."/>
      <w:lvlJc w:val="left"/>
      <w:pPr>
        <w:tabs>
          <w:tab w:val="num" w:pos="360"/>
        </w:tabs>
        <w:ind w:left="360" w:hanging="360"/>
      </w:pPr>
      <w:rPr>
        <w:rFonts w:hint="default"/>
      </w:rPr>
    </w:lvl>
  </w:abstractNum>
  <w:abstractNum w:abstractNumId="9" w15:restartNumberingAfterBreak="0">
    <w:nsid w:val="27302056"/>
    <w:multiLevelType w:val="multilevel"/>
    <w:tmpl w:val="6BB6AD46"/>
    <w:lvl w:ilvl="0">
      <w:start w:val="1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279006CA"/>
    <w:multiLevelType w:val="hybridMultilevel"/>
    <w:tmpl w:val="5CBABF8A"/>
    <w:lvl w:ilvl="0" w:tplc="35683D62">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2C34709E"/>
    <w:multiLevelType w:val="singleLevel"/>
    <w:tmpl w:val="5FFEF382"/>
    <w:lvl w:ilvl="0">
      <w:start w:val="1"/>
      <w:numFmt w:val="decimal"/>
      <w:lvlText w:val="%1."/>
      <w:lvlJc w:val="left"/>
      <w:pPr>
        <w:tabs>
          <w:tab w:val="num" w:pos="0"/>
        </w:tabs>
        <w:ind w:left="0" w:hanging="1440"/>
      </w:pPr>
      <w:rPr>
        <w:rFonts w:hint="default"/>
      </w:rPr>
    </w:lvl>
  </w:abstractNum>
  <w:abstractNum w:abstractNumId="12" w15:restartNumberingAfterBreak="0">
    <w:nsid w:val="35C867ED"/>
    <w:multiLevelType w:val="singleLevel"/>
    <w:tmpl w:val="01BCF53E"/>
    <w:lvl w:ilvl="0">
      <w:start w:val="3"/>
      <w:numFmt w:val="decimal"/>
      <w:lvlText w:val="%1."/>
      <w:lvlJc w:val="left"/>
      <w:pPr>
        <w:tabs>
          <w:tab w:val="num" w:pos="360"/>
        </w:tabs>
        <w:ind w:left="360" w:hanging="360"/>
      </w:pPr>
      <w:rPr>
        <w:rFonts w:hint="default"/>
        <w:b w:val="0"/>
      </w:rPr>
    </w:lvl>
  </w:abstractNum>
  <w:abstractNum w:abstractNumId="13" w15:restartNumberingAfterBreak="0">
    <w:nsid w:val="3AF63093"/>
    <w:multiLevelType w:val="singleLevel"/>
    <w:tmpl w:val="01BCF53E"/>
    <w:lvl w:ilvl="0">
      <w:start w:val="3"/>
      <w:numFmt w:val="decimal"/>
      <w:lvlText w:val="%1."/>
      <w:lvlJc w:val="left"/>
      <w:pPr>
        <w:tabs>
          <w:tab w:val="num" w:pos="360"/>
        </w:tabs>
        <w:ind w:left="360" w:hanging="360"/>
      </w:pPr>
      <w:rPr>
        <w:rFonts w:hint="default"/>
      </w:rPr>
    </w:lvl>
  </w:abstractNum>
  <w:abstractNum w:abstractNumId="14" w15:restartNumberingAfterBreak="0">
    <w:nsid w:val="3C622C1F"/>
    <w:multiLevelType w:val="hybridMultilevel"/>
    <w:tmpl w:val="C0AAAD00"/>
    <w:lvl w:ilvl="0" w:tplc="35683D62">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5" w15:restartNumberingAfterBreak="0">
    <w:nsid w:val="40F70066"/>
    <w:multiLevelType w:val="singleLevel"/>
    <w:tmpl w:val="0E8C4FC6"/>
    <w:lvl w:ilvl="0">
      <w:start w:val="5"/>
      <w:numFmt w:val="decimal"/>
      <w:lvlText w:val="%1."/>
      <w:lvlJc w:val="left"/>
      <w:pPr>
        <w:tabs>
          <w:tab w:val="num" w:pos="720"/>
        </w:tabs>
        <w:ind w:left="720" w:hanging="720"/>
      </w:pPr>
      <w:rPr>
        <w:rFonts w:hint="default"/>
      </w:rPr>
    </w:lvl>
  </w:abstractNum>
  <w:abstractNum w:abstractNumId="16" w15:restartNumberingAfterBreak="0">
    <w:nsid w:val="42975971"/>
    <w:multiLevelType w:val="singleLevel"/>
    <w:tmpl w:val="2FF2E722"/>
    <w:lvl w:ilvl="0">
      <w:start w:val="3"/>
      <w:numFmt w:val="decimal"/>
      <w:lvlText w:val="%1."/>
      <w:lvlJc w:val="left"/>
      <w:pPr>
        <w:tabs>
          <w:tab w:val="num" w:pos="-1080"/>
        </w:tabs>
        <w:ind w:left="-1080" w:hanging="360"/>
      </w:pPr>
      <w:rPr>
        <w:rFonts w:hint="default"/>
        <w:b w:val="0"/>
      </w:rPr>
    </w:lvl>
  </w:abstractNum>
  <w:abstractNum w:abstractNumId="17" w15:restartNumberingAfterBreak="0">
    <w:nsid w:val="43A1498A"/>
    <w:multiLevelType w:val="hybridMultilevel"/>
    <w:tmpl w:val="CC36AE90"/>
    <w:lvl w:ilvl="0" w:tplc="35683D6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CB57AF"/>
    <w:multiLevelType w:val="multilevel"/>
    <w:tmpl w:val="EC8698A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2140"/>
        </w:tabs>
        <w:ind w:left="2140" w:hanging="720"/>
      </w:pPr>
      <w:rPr>
        <w:rFonts w:hint="default"/>
      </w:rPr>
    </w:lvl>
    <w:lvl w:ilvl="3">
      <w:start w:val="1"/>
      <w:numFmt w:val="decimal"/>
      <w:lvlText w:val="%1.%2.%3.%4"/>
      <w:lvlJc w:val="left"/>
      <w:pPr>
        <w:tabs>
          <w:tab w:val="num" w:pos="3210"/>
        </w:tabs>
        <w:ind w:left="3210" w:hanging="1080"/>
      </w:pPr>
      <w:rPr>
        <w:rFonts w:hint="default"/>
      </w:rPr>
    </w:lvl>
    <w:lvl w:ilvl="4">
      <w:start w:val="1"/>
      <w:numFmt w:val="decimal"/>
      <w:lvlText w:val="%1.%2.%3.%4.%5"/>
      <w:lvlJc w:val="left"/>
      <w:pPr>
        <w:tabs>
          <w:tab w:val="num" w:pos="3920"/>
        </w:tabs>
        <w:ind w:left="3920" w:hanging="1080"/>
      </w:pPr>
      <w:rPr>
        <w:rFonts w:hint="default"/>
      </w:rPr>
    </w:lvl>
    <w:lvl w:ilvl="5">
      <w:start w:val="1"/>
      <w:numFmt w:val="decimal"/>
      <w:lvlText w:val="%1.%2.%3.%4.%5.%6"/>
      <w:lvlJc w:val="left"/>
      <w:pPr>
        <w:tabs>
          <w:tab w:val="num" w:pos="4990"/>
        </w:tabs>
        <w:ind w:left="4990" w:hanging="1440"/>
      </w:pPr>
      <w:rPr>
        <w:rFonts w:hint="default"/>
      </w:rPr>
    </w:lvl>
    <w:lvl w:ilvl="6">
      <w:start w:val="1"/>
      <w:numFmt w:val="decimal"/>
      <w:lvlText w:val="%1.%2.%3.%4.%5.%6.%7"/>
      <w:lvlJc w:val="left"/>
      <w:pPr>
        <w:tabs>
          <w:tab w:val="num" w:pos="5700"/>
        </w:tabs>
        <w:ind w:left="5700" w:hanging="1440"/>
      </w:pPr>
      <w:rPr>
        <w:rFonts w:hint="default"/>
      </w:rPr>
    </w:lvl>
    <w:lvl w:ilvl="7">
      <w:start w:val="1"/>
      <w:numFmt w:val="decimal"/>
      <w:lvlText w:val="%1.%2.%3.%4.%5.%6.%7.%8"/>
      <w:lvlJc w:val="left"/>
      <w:pPr>
        <w:tabs>
          <w:tab w:val="num" w:pos="6770"/>
        </w:tabs>
        <w:ind w:left="6770" w:hanging="1800"/>
      </w:pPr>
      <w:rPr>
        <w:rFonts w:hint="default"/>
      </w:rPr>
    </w:lvl>
    <w:lvl w:ilvl="8">
      <w:start w:val="1"/>
      <w:numFmt w:val="decimal"/>
      <w:lvlText w:val="%1.%2.%3.%4.%5.%6.%7.%8.%9"/>
      <w:lvlJc w:val="left"/>
      <w:pPr>
        <w:tabs>
          <w:tab w:val="num" w:pos="7480"/>
        </w:tabs>
        <w:ind w:left="7480" w:hanging="1800"/>
      </w:pPr>
      <w:rPr>
        <w:rFonts w:hint="default"/>
      </w:rPr>
    </w:lvl>
  </w:abstractNum>
  <w:abstractNum w:abstractNumId="19" w15:restartNumberingAfterBreak="0">
    <w:nsid w:val="555F593A"/>
    <w:multiLevelType w:val="multilevel"/>
    <w:tmpl w:val="ADCACB0E"/>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560430C8"/>
    <w:multiLevelType w:val="multilevel"/>
    <w:tmpl w:val="37AE563E"/>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1" w15:restartNumberingAfterBreak="0">
    <w:nsid w:val="5BDE1D28"/>
    <w:multiLevelType w:val="multilevel"/>
    <w:tmpl w:val="8A7AE404"/>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5E285F34"/>
    <w:multiLevelType w:val="multilevel"/>
    <w:tmpl w:val="1FD2388A"/>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6A8254AE"/>
    <w:multiLevelType w:val="singleLevel"/>
    <w:tmpl w:val="01BCF53E"/>
    <w:lvl w:ilvl="0">
      <w:start w:val="7"/>
      <w:numFmt w:val="decimal"/>
      <w:lvlText w:val="%1."/>
      <w:lvlJc w:val="left"/>
      <w:pPr>
        <w:tabs>
          <w:tab w:val="num" w:pos="360"/>
        </w:tabs>
        <w:ind w:left="360" w:hanging="360"/>
      </w:pPr>
      <w:rPr>
        <w:rFonts w:hint="default"/>
      </w:rPr>
    </w:lvl>
  </w:abstractNum>
  <w:abstractNum w:abstractNumId="24" w15:restartNumberingAfterBreak="0">
    <w:nsid w:val="76CC3F85"/>
    <w:multiLevelType w:val="multilevel"/>
    <w:tmpl w:val="2780BDA0"/>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30"/>
        </w:tabs>
        <w:ind w:left="143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7B3020B3"/>
    <w:multiLevelType w:val="hybridMultilevel"/>
    <w:tmpl w:val="1FB0107E"/>
    <w:lvl w:ilvl="0" w:tplc="2138B28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7D6E2673"/>
    <w:multiLevelType w:val="hybridMultilevel"/>
    <w:tmpl w:val="9692D580"/>
    <w:lvl w:ilvl="0" w:tplc="517681FE">
      <w:start w:val="1"/>
      <w:numFmt w:val="bullet"/>
      <w:lvlText w:val=""/>
      <w:lvlJc w:val="left"/>
      <w:pPr>
        <w:tabs>
          <w:tab w:val="num" w:pos="2880"/>
        </w:tabs>
        <w:ind w:left="2880" w:hanging="363"/>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27" w15:restartNumberingAfterBreak="0">
    <w:nsid w:val="7D9043AF"/>
    <w:multiLevelType w:val="multilevel"/>
    <w:tmpl w:val="BE3A30EE"/>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7E5425CF"/>
    <w:multiLevelType w:val="multilevel"/>
    <w:tmpl w:val="83526B78"/>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9" w15:restartNumberingAfterBreak="0">
    <w:nsid w:val="7FC0249E"/>
    <w:multiLevelType w:val="hybridMultilevel"/>
    <w:tmpl w:val="CB561568"/>
    <w:lvl w:ilvl="0" w:tplc="9DEE2D14">
      <w:start w:val="1"/>
      <w:numFmt w:val="bullet"/>
      <w:lvlText w:val="§"/>
      <w:lvlJc w:val="left"/>
      <w:pPr>
        <w:ind w:left="1800" w:hanging="360"/>
      </w:pPr>
      <w:rPr>
        <w:rFonts w:ascii="Wingdings" w:hAnsi="Wingdings" w:hint="default"/>
      </w:rPr>
    </w:lvl>
    <w:lvl w:ilvl="1" w:tplc="C1CC2A96">
      <w:start w:val="1"/>
      <w:numFmt w:val="bullet"/>
      <w:lvlText w:val="o"/>
      <w:lvlJc w:val="left"/>
      <w:pPr>
        <w:ind w:left="2520" w:hanging="360"/>
      </w:pPr>
      <w:rPr>
        <w:rFonts w:ascii="Courier New" w:hAnsi="Courier New" w:hint="default"/>
      </w:rPr>
    </w:lvl>
    <w:lvl w:ilvl="2" w:tplc="3B7A0AF2">
      <w:start w:val="1"/>
      <w:numFmt w:val="bullet"/>
      <w:lvlText w:val=""/>
      <w:lvlJc w:val="left"/>
      <w:pPr>
        <w:ind w:left="3240" w:hanging="360"/>
      </w:pPr>
      <w:rPr>
        <w:rFonts w:ascii="Wingdings" w:hAnsi="Wingdings" w:hint="default"/>
      </w:rPr>
    </w:lvl>
    <w:lvl w:ilvl="3" w:tplc="69C086B6">
      <w:start w:val="1"/>
      <w:numFmt w:val="bullet"/>
      <w:lvlText w:val=""/>
      <w:lvlJc w:val="left"/>
      <w:pPr>
        <w:ind w:left="3960" w:hanging="360"/>
      </w:pPr>
      <w:rPr>
        <w:rFonts w:ascii="Symbol" w:hAnsi="Symbol" w:hint="default"/>
      </w:rPr>
    </w:lvl>
    <w:lvl w:ilvl="4" w:tplc="8D6A7FFA">
      <w:start w:val="1"/>
      <w:numFmt w:val="bullet"/>
      <w:lvlText w:val="o"/>
      <w:lvlJc w:val="left"/>
      <w:pPr>
        <w:ind w:left="4680" w:hanging="360"/>
      </w:pPr>
      <w:rPr>
        <w:rFonts w:ascii="Courier New" w:hAnsi="Courier New" w:hint="default"/>
      </w:rPr>
    </w:lvl>
    <w:lvl w:ilvl="5" w:tplc="1B46B348">
      <w:start w:val="1"/>
      <w:numFmt w:val="bullet"/>
      <w:lvlText w:val=""/>
      <w:lvlJc w:val="left"/>
      <w:pPr>
        <w:ind w:left="5400" w:hanging="360"/>
      </w:pPr>
      <w:rPr>
        <w:rFonts w:ascii="Wingdings" w:hAnsi="Wingdings" w:hint="default"/>
      </w:rPr>
    </w:lvl>
    <w:lvl w:ilvl="6" w:tplc="73E81E0C">
      <w:start w:val="1"/>
      <w:numFmt w:val="bullet"/>
      <w:lvlText w:val=""/>
      <w:lvlJc w:val="left"/>
      <w:pPr>
        <w:ind w:left="6120" w:hanging="360"/>
      </w:pPr>
      <w:rPr>
        <w:rFonts w:ascii="Symbol" w:hAnsi="Symbol" w:hint="default"/>
      </w:rPr>
    </w:lvl>
    <w:lvl w:ilvl="7" w:tplc="342275F8">
      <w:start w:val="1"/>
      <w:numFmt w:val="bullet"/>
      <w:lvlText w:val="o"/>
      <w:lvlJc w:val="left"/>
      <w:pPr>
        <w:ind w:left="6840" w:hanging="360"/>
      </w:pPr>
      <w:rPr>
        <w:rFonts w:ascii="Courier New" w:hAnsi="Courier New" w:hint="default"/>
      </w:rPr>
    </w:lvl>
    <w:lvl w:ilvl="8" w:tplc="19124E86">
      <w:start w:val="1"/>
      <w:numFmt w:val="bullet"/>
      <w:lvlText w:val=""/>
      <w:lvlJc w:val="left"/>
      <w:pPr>
        <w:ind w:left="7560" w:hanging="360"/>
      </w:pPr>
      <w:rPr>
        <w:rFonts w:ascii="Wingdings" w:hAnsi="Wingdings" w:hint="default"/>
      </w:rPr>
    </w:lvl>
  </w:abstractNum>
  <w:num w:numId="1" w16cid:durableId="958948116">
    <w:abstractNumId w:val="11"/>
  </w:num>
  <w:num w:numId="2" w16cid:durableId="884415978">
    <w:abstractNumId w:val="13"/>
  </w:num>
  <w:num w:numId="3" w16cid:durableId="1771926088">
    <w:abstractNumId w:val="12"/>
  </w:num>
  <w:num w:numId="4" w16cid:durableId="439033615">
    <w:abstractNumId w:val="16"/>
  </w:num>
  <w:num w:numId="5" w16cid:durableId="1201280641">
    <w:abstractNumId w:val="15"/>
  </w:num>
  <w:num w:numId="6" w16cid:durableId="334916477">
    <w:abstractNumId w:val="8"/>
  </w:num>
  <w:num w:numId="7" w16cid:durableId="663506505">
    <w:abstractNumId w:val="23"/>
  </w:num>
  <w:num w:numId="8" w16cid:durableId="845629660">
    <w:abstractNumId w:val="9"/>
  </w:num>
  <w:num w:numId="9" w16cid:durableId="1975404127">
    <w:abstractNumId w:val="24"/>
  </w:num>
  <w:num w:numId="10" w16cid:durableId="1122768428">
    <w:abstractNumId w:val="21"/>
  </w:num>
  <w:num w:numId="11" w16cid:durableId="910625667">
    <w:abstractNumId w:val="22"/>
  </w:num>
  <w:num w:numId="12" w16cid:durableId="1698963370">
    <w:abstractNumId w:val="4"/>
  </w:num>
  <w:num w:numId="13" w16cid:durableId="487554715">
    <w:abstractNumId w:val="19"/>
  </w:num>
  <w:num w:numId="14" w16cid:durableId="551616544">
    <w:abstractNumId w:val="28"/>
  </w:num>
  <w:num w:numId="15" w16cid:durableId="1873037599">
    <w:abstractNumId w:val="27"/>
  </w:num>
  <w:num w:numId="16" w16cid:durableId="40443143">
    <w:abstractNumId w:val="20"/>
  </w:num>
  <w:num w:numId="17" w16cid:durableId="680084805">
    <w:abstractNumId w:val="26"/>
  </w:num>
  <w:num w:numId="18" w16cid:durableId="1399938619">
    <w:abstractNumId w:val="2"/>
  </w:num>
  <w:num w:numId="19" w16cid:durableId="2006586644">
    <w:abstractNumId w:val="17"/>
  </w:num>
  <w:num w:numId="20" w16cid:durableId="1600409482">
    <w:abstractNumId w:val="14"/>
  </w:num>
  <w:num w:numId="21" w16cid:durableId="495415587">
    <w:abstractNumId w:val="10"/>
  </w:num>
  <w:num w:numId="22" w16cid:durableId="997804435">
    <w:abstractNumId w:val="18"/>
  </w:num>
  <w:num w:numId="23" w16cid:durableId="1235357163">
    <w:abstractNumId w:val="0"/>
  </w:num>
  <w:num w:numId="24" w16cid:durableId="821312758">
    <w:abstractNumId w:val="3"/>
  </w:num>
  <w:num w:numId="25" w16cid:durableId="126893315">
    <w:abstractNumId w:val="1"/>
  </w:num>
  <w:num w:numId="26" w16cid:durableId="877091020">
    <w:abstractNumId w:val="5"/>
  </w:num>
  <w:num w:numId="27" w16cid:durableId="2130928833">
    <w:abstractNumId w:val="6"/>
  </w:num>
  <w:num w:numId="28" w16cid:durableId="108208104">
    <w:abstractNumId w:val="7"/>
  </w:num>
  <w:num w:numId="29" w16cid:durableId="340010097">
    <w:abstractNumId w:val="25"/>
  </w:num>
  <w:num w:numId="30" w16cid:durableId="183364528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2F1"/>
    <w:rsid w:val="00041576"/>
    <w:rsid w:val="00077670"/>
    <w:rsid w:val="00094F1E"/>
    <w:rsid w:val="000D4E46"/>
    <w:rsid w:val="000D5BD3"/>
    <w:rsid w:val="000E0538"/>
    <w:rsid w:val="000E5741"/>
    <w:rsid w:val="000F22B1"/>
    <w:rsid w:val="000F278F"/>
    <w:rsid w:val="00106D6E"/>
    <w:rsid w:val="00112EBD"/>
    <w:rsid w:val="00114642"/>
    <w:rsid w:val="001312EE"/>
    <w:rsid w:val="00156314"/>
    <w:rsid w:val="001573ED"/>
    <w:rsid w:val="0016197B"/>
    <w:rsid w:val="00177594"/>
    <w:rsid w:val="001836C9"/>
    <w:rsid w:val="001867EE"/>
    <w:rsid w:val="00186968"/>
    <w:rsid w:val="001A7532"/>
    <w:rsid w:val="0021300A"/>
    <w:rsid w:val="00213E5E"/>
    <w:rsid w:val="0024482E"/>
    <w:rsid w:val="0024572C"/>
    <w:rsid w:val="0026433F"/>
    <w:rsid w:val="00292F8A"/>
    <w:rsid w:val="002C3CB7"/>
    <w:rsid w:val="002C62F1"/>
    <w:rsid w:val="002D7BF0"/>
    <w:rsid w:val="002E5013"/>
    <w:rsid w:val="00316F8F"/>
    <w:rsid w:val="003213C1"/>
    <w:rsid w:val="00325F29"/>
    <w:rsid w:val="00332A6E"/>
    <w:rsid w:val="00362C50"/>
    <w:rsid w:val="00375ADC"/>
    <w:rsid w:val="00397B05"/>
    <w:rsid w:val="003B168A"/>
    <w:rsid w:val="003B647A"/>
    <w:rsid w:val="003D0217"/>
    <w:rsid w:val="003F4CC3"/>
    <w:rsid w:val="00400F31"/>
    <w:rsid w:val="00402858"/>
    <w:rsid w:val="004043E1"/>
    <w:rsid w:val="00430821"/>
    <w:rsid w:val="00441850"/>
    <w:rsid w:val="00452D84"/>
    <w:rsid w:val="0045688A"/>
    <w:rsid w:val="00465EE9"/>
    <w:rsid w:val="00510DF6"/>
    <w:rsid w:val="00521EEB"/>
    <w:rsid w:val="0052321F"/>
    <w:rsid w:val="005274E2"/>
    <w:rsid w:val="0054599C"/>
    <w:rsid w:val="0055493C"/>
    <w:rsid w:val="00560C55"/>
    <w:rsid w:val="0056331C"/>
    <w:rsid w:val="00573A51"/>
    <w:rsid w:val="005938F9"/>
    <w:rsid w:val="00593E7B"/>
    <w:rsid w:val="005B686E"/>
    <w:rsid w:val="005C50DB"/>
    <w:rsid w:val="005D69A3"/>
    <w:rsid w:val="005F1864"/>
    <w:rsid w:val="00607E4C"/>
    <w:rsid w:val="00620347"/>
    <w:rsid w:val="006258B7"/>
    <w:rsid w:val="00663CB5"/>
    <w:rsid w:val="00674FE7"/>
    <w:rsid w:val="006B44E8"/>
    <w:rsid w:val="006D339F"/>
    <w:rsid w:val="006E0EDC"/>
    <w:rsid w:val="006E40A6"/>
    <w:rsid w:val="007000CD"/>
    <w:rsid w:val="00743683"/>
    <w:rsid w:val="00761951"/>
    <w:rsid w:val="00775594"/>
    <w:rsid w:val="00783032"/>
    <w:rsid w:val="00794366"/>
    <w:rsid w:val="007B4A44"/>
    <w:rsid w:val="007C79A2"/>
    <w:rsid w:val="007F1B17"/>
    <w:rsid w:val="007F3CA0"/>
    <w:rsid w:val="007F3F0B"/>
    <w:rsid w:val="007F4363"/>
    <w:rsid w:val="008211AC"/>
    <w:rsid w:val="00843ED0"/>
    <w:rsid w:val="00873653"/>
    <w:rsid w:val="008A07A0"/>
    <w:rsid w:val="008D7856"/>
    <w:rsid w:val="008E2694"/>
    <w:rsid w:val="00922DA2"/>
    <w:rsid w:val="00942062"/>
    <w:rsid w:val="00946AFC"/>
    <w:rsid w:val="00965EAF"/>
    <w:rsid w:val="009C473E"/>
    <w:rsid w:val="009E3178"/>
    <w:rsid w:val="009F61C8"/>
    <w:rsid w:val="00A03923"/>
    <w:rsid w:val="00A068C1"/>
    <w:rsid w:val="00A24570"/>
    <w:rsid w:val="00A34E00"/>
    <w:rsid w:val="00A56D30"/>
    <w:rsid w:val="00A65EA3"/>
    <w:rsid w:val="00A668AC"/>
    <w:rsid w:val="00AB6958"/>
    <w:rsid w:val="00B04038"/>
    <w:rsid w:val="00B06A64"/>
    <w:rsid w:val="00B13394"/>
    <w:rsid w:val="00B35E25"/>
    <w:rsid w:val="00B4728A"/>
    <w:rsid w:val="00B54081"/>
    <w:rsid w:val="00B618D5"/>
    <w:rsid w:val="00B65694"/>
    <w:rsid w:val="00B744CE"/>
    <w:rsid w:val="00B943CB"/>
    <w:rsid w:val="00BC1B57"/>
    <w:rsid w:val="00BE362E"/>
    <w:rsid w:val="00BE36B8"/>
    <w:rsid w:val="00C10FC7"/>
    <w:rsid w:val="00C21188"/>
    <w:rsid w:val="00C47680"/>
    <w:rsid w:val="00C75813"/>
    <w:rsid w:val="00C83C5D"/>
    <w:rsid w:val="00C9392A"/>
    <w:rsid w:val="00C95F5F"/>
    <w:rsid w:val="00CA1B75"/>
    <w:rsid w:val="00CE28AF"/>
    <w:rsid w:val="00CE3951"/>
    <w:rsid w:val="00CF67C7"/>
    <w:rsid w:val="00D56EA1"/>
    <w:rsid w:val="00D71254"/>
    <w:rsid w:val="00D744BE"/>
    <w:rsid w:val="00D82D1E"/>
    <w:rsid w:val="00D85160"/>
    <w:rsid w:val="00DB2963"/>
    <w:rsid w:val="00DC7195"/>
    <w:rsid w:val="00DE234B"/>
    <w:rsid w:val="00DF239E"/>
    <w:rsid w:val="00DF4882"/>
    <w:rsid w:val="00E245AA"/>
    <w:rsid w:val="00E329FC"/>
    <w:rsid w:val="00E42EC3"/>
    <w:rsid w:val="00E97B50"/>
    <w:rsid w:val="00EA3409"/>
    <w:rsid w:val="00EB7A02"/>
    <w:rsid w:val="00ED707A"/>
    <w:rsid w:val="00EE40C0"/>
    <w:rsid w:val="00EE6480"/>
    <w:rsid w:val="00F00D29"/>
    <w:rsid w:val="00F2337B"/>
    <w:rsid w:val="00F3261D"/>
    <w:rsid w:val="00F70E97"/>
    <w:rsid w:val="00F71404"/>
    <w:rsid w:val="00F86CA3"/>
    <w:rsid w:val="00F9297D"/>
    <w:rsid w:val="00F93429"/>
    <w:rsid w:val="00F95ABE"/>
    <w:rsid w:val="00F96C1A"/>
    <w:rsid w:val="00FE09A8"/>
    <w:rsid w:val="00FE32DF"/>
    <w:rsid w:val="00FF07E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8C0BDD"/>
  <w15:chartTrackingRefBased/>
  <w15:docId w15:val="{0BD9BC46-6E07-B84B-B874-0037FDFE7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Mangal"/>
      <w:sz w:val="24"/>
      <w:szCs w:val="24"/>
      <w:lang w:val="en-US" w:eastAsia="en-GB" w:bidi="ne-NP"/>
    </w:rPr>
  </w:style>
  <w:style w:type="paragraph" w:styleId="Heading1">
    <w:name w:val="heading 1"/>
    <w:basedOn w:val="Normal"/>
    <w:next w:val="Normal"/>
    <w:qFormat/>
    <w:pPr>
      <w:keepNext/>
      <w:outlineLvl w:val="0"/>
    </w:pPr>
    <w:rPr>
      <w:b/>
      <w:bCs/>
      <w:lang w:val="en-GB"/>
    </w:rPr>
  </w:style>
  <w:style w:type="paragraph" w:styleId="Heading2">
    <w:name w:val="heading 2"/>
    <w:basedOn w:val="Normal"/>
    <w:next w:val="Normal"/>
    <w:qFormat/>
    <w:pPr>
      <w:keepNext/>
      <w:outlineLvl w:val="1"/>
    </w:pPr>
    <w:rPr>
      <w:u w:val="single"/>
      <w:lang w:val="en-GB"/>
    </w:rPr>
  </w:style>
  <w:style w:type="paragraph" w:styleId="Heading3">
    <w:name w:val="heading 3"/>
    <w:basedOn w:val="Normal"/>
    <w:next w:val="Normal"/>
    <w:qFormat/>
    <w:pPr>
      <w:keepNext/>
      <w:outlineLvl w:val="2"/>
    </w:pPr>
    <w:rPr>
      <w:rFonts w:ascii="Times New Roman" w:hAnsi="Times New Roman"/>
      <w:lang w:val="en-GB"/>
    </w:rPr>
  </w:style>
  <w:style w:type="paragraph" w:styleId="Heading4">
    <w:name w:val="heading 4"/>
    <w:basedOn w:val="Normal"/>
    <w:next w:val="Normal"/>
    <w:qFormat/>
    <w:pPr>
      <w:keepNext/>
      <w:outlineLvl w:val="3"/>
    </w:pPr>
    <w:rPr>
      <w:rFonts w:ascii="Tahoma" w:hAnsi="Tahoma"/>
      <w:sz w:val="144"/>
      <w:szCs w:val="144"/>
      <w:lang w:val="en-GB"/>
    </w:rPr>
  </w:style>
  <w:style w:type="paragraph" w:styleId="Heading5">
    <w:name w:val="heading 5"/>
    <w:basedOn w:val="Normal"/>
    <w:next w:val="Normal"/>
    <w:qFormat/>
    <w:pPr>
      <w:keepNext/>
      <w:outlineLvl w:val="4"/>
    </w:pPr>
    <w:rPr>
      <w:rFonts w:ascii="Tahoma" w:hAnsi="Tahoma"/>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WPNormal">
    <w:name w:val="WP_Normal"/>
    <w:basedOn w:val="Normal"/>
    <w:pPr>
      <w:widowControl w:val="0"/>
    </w:pPr>
    <w:rPr>
      <w:rFonts w:ascii="Monaco" w:hAnsi="Monaco"/>
      <w:snapToGrid w:val="0"/>
      <w:lang w:val="en-GB" w:eastAsia="en-US"/>
    </w:rPr>
  </w:style>
  <w:style w:type="character" w:customStyle="1" w:styleId="Manual2">
    <w:name w:val="Manual 2"/>
    <w:basedOn w:val="DefaultParagraphFont"/>
  </w:style>
  <w:style w:type="character" w:styleId="PageNumber">
    <w:name w:val="page number"/>
    <w:basedOn w:val="DefaultParagraphFont"/>
  </w:style>
  <w:style w:type="character" w:customStyle="1" w:styleId="Manual3">
    <w:name w:val="Manual 3"/>
    <w:basedOn w:val="DefaultParagraphFont"/>
    <w:rsid w:val="00EB7A02"/>
  </w:style>
  <w:style w:type="paragraph" w:styleId="BalloonText">
    <w:name w:val="Balloon Text"/>
    <w:basedOn w:val="Normal"/>
    <w:link w:val="BalloonTextChar"/>
    <w:rsid w:val="006B44E8"/>
    <w:rPr>
      <w:rFonts w:ascii="Tahoma" w:hAnsi="Tahoma" w:cs="Tahoma"/>
      <w:sz w:val="16"/>
      <w:szCs w:val="14"/>
    </w:rPr>
  </w:style>
  <w:style w:type="character" w:customStyle="1" w:styleId="BalloonTextChar">
    <w:name w:val="Balloon Text Char"/>
    <w:link w:val="BalloonText"/>
    <w:rsid w:val="006B44E8"/>
    <w:rPr>
      <w:rFonts w:ascii="Tahoma" w:hAnsi="Tahoma" w:cs="Tahoma"/>
      <w:sz w:val="16"/>
      <w:szCs w:val="14"/>
      <w:lang w:val="en-US" w:bidi="ne-NP"/>
    </w:rPr>
  </w:style>
  <w:style w:type="paragraph" w:styleId="ListParagraph">
    <w:name w:val="List Paragraph"/>
    <w:basedOn w:val="Normal"/>
    <w:uiPriority w:val="34"/>
    <w:qFormat/>
    <w:rsid w:val="00177594"/>
    <w:pPr>
      <w:suppressAutoHyphens/>
      <w:autoSpaceDN w:val="0"/>
      <w:spacing w:after="200" w:line="276" w:lineRule="auto"/>
      <w:ind w:left="720"/>
      <w:contextualSpacing/>
      <w:textAlignment w:val="baseline"/>
    </w:pPr>
    <w:rPr>
      <w:rFonts w:ascii="Calibri" w:eastAsia="Calibri" w:hAnsi="Calibri" w:cs="Arial"/>
      <w:sz w:val="22"/>
      <w:szCs w:val="22"/>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7632390DBD0B04DB43DFD559CDF512A" ma:contentTypeVersion="14" ma:contentTypeDescription="Create a new document." ma:contentTypeScope="" ma:versionID="96a9f87f627293fa896faeeba7de8b64">
  <xsd:schema xmlns:xsd="http://www.w3.org/2001/XMLSchema" xmlns:xs="http://www.w3.org/2001/XMLSchema" xmlns:p="http://schemas.microsoft.com/office/2006/metadata/properties" xmlns:ns2="57a5220a-05a8-4b64-a563-b92d320320ac" xmlns:ns3="795082ec-b35d-497a-88ce-7d33ed1e4d5c" targetNamespace="http://schemas.microsoft.com/office/2006/metadata/properties" ma:root="true" ma:fieldsID="a35d8fb743015f4132de66cab33531dd" ns2:_="" ns3:_="">
    <xsd:import namespace="57a5220a-05a8-4b64-a563-b92d320320ac"/>
    <xsd:import namespace="795082ec-b35d-497a-88ce-7d33ed1e4d5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5220a-05a8-4b64-a563-b92d320320a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c97030-c6e5-493b-b245-25ea86818106}" ma:internalName="TaxCatchAll" ma:showField="CatchAllData" ma:web="57a5220a-05a8-4b64-a563-b92d320320a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95082ec-b35d-497a-88ce-7d33ed1e4d5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f322350-0d2a-439d-b835-ea99249e5fb9"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95082ec-b35d-497a-88ce-7d33ed1e4d5c">
      <Terms xmlns="http://schemas.microsoft.com/office/infopath/2007/PartnerControls"/>
    </lcf76f155ced4ddcb4097134ff3c332f>
    <TaxCatchAll xmlns="57a5220a-05a8-4b64-a563-b92d320320ac" xsi:nil="true"/>
  </documentManagement>
</p:properties>
</file>

<file path=customXml/itemProps1.xml><?xml version="1.0" encoding="utf-8"?>
<ds:datastoreItem xmlns:ds="http://schemas.openxmlformats.org/officeDocument/2006/customXml" ds:itemID="{F3DF3F21-3DE7-4773-926D-A15D48F575CC}">
  <ds:schemaRefs>
    <ds:schemaRef ds:uri="http://schemas.openxmlformats.org/officeDocument/2006/bibliography"/>
  </ds:schemaRefs>
</ds:datastoreItem>
</file>

<file path=customXml/itemProps2.xml><?xml version="1.0" encoding="utf-8"?>
<ds:datastoreItem xmlns:ds="http://schemas.openxmlformats.org/officeDocument/2006/customXml" ds:itemID="{A7382F49-0942-41F6-A01B-3DC67633E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a5220a-05a8-4b64-a563-b92d320320ac"/>
    <ds:schemaRef ds:uri="795082ec-b35d-497a-88ce-7d33ed1e4d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37ED4A-91A1-491A-BD95-4C1964F68DE5}">
  <ds:schemaRefs>
    <ds:schemaRef ds:uri="http://schemas.microsoft.com/sharepoint/v3/contenttype/forms"/>
  </ds:schemaRefs>
</ds:datastoreItem>
</file>

<file path=customXml/itemProps4.xml><?xml version="1.0" encoding="utf-8"?>
<ds:datastoreItem xmlns:ds="http://schemas.openxmlformats.org/officeDocument/2006/customXml" ds:itemID="{9352A42B-788D-4BFE-BFDC-EE21AECB998C}">
  <ds:schemaRefs>
    <ds:schemaRef ds:uri="http://schemas.microsoft.com/office/2006/metadata/properties"/>
    <ds:schemaRef ds:uri="http://schemas.microsoft.com/office/infopath/2007/PartnerControls"/>
    <ds:schemaRef ds:uri="795082ec-b35d-497a-88ce-7d33ed1e4d5c"/>
    <ds:schemaRef ds:uri="57a5220a-05a8-4b64-a563-b92d320320a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1552</Words>
  <Characters>8851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Abertay</vt:lpstr>
    </vt:vector>
  </TitlesOfParts>
  <Company>ABERTAY</Company>
  <LinksUpToDate>false</LinksUpToDate>
  <CharactersWithSpaces>10383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Abertay</dc:title>
  <dc:subject/>
  <dc:creator>don</dc:creator>
  <cp:keywords/>
  <cp:lastModifiedBy>Linlay Anderson</cp:lastModifiedBy>
  <cp:revision>3</cp:revision>
  <cp:lastPrinted>2012-03-26T10:29:00Z</cp:lastPrinted>
  <dcterms:created xsi:type="dcterms:W3CDTF">2024-03-06T10:11:00Z</dcterms:created>
  <dcterms:modified xsi:type="dcterms:W3CDTF">2024-05-21T15:17:00Z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211008491</vt:i4>
  </property>
  <property fmtid="{D5CDD505-2E9C-101B-9397-08002B2CF9AE}" pid="3" name="ContentTypeId">
    <vt:lpwstr>0x010100E7632390DBD0B04DB43DFD559CDF512A</vt:lpwstr>
  </property>
</Properties>
</file>